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FA4" w:rsidRPr="00562FA4" w:rsidRDefault="00562FA4" w:rsidP="00562FA4">
      <w:pPr>
        <w:shd w:val="clear" w:color="auto" w:fill="FFFFFF"/>
        <w:spacing w:after="120" w:line="420" w:lineRule="atLeast"/>
        <w:textAlignment w:val="baseline"/>
        <w:outlineLvl w:val="1"/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</w:pPr>
      <w:r w:rsidRPr="00562FA4">
        <w:rPr>
          <w:rFonts w:ascii="Georgia" w:eastAsia="Times New Roman" w:hAnsi="Georgia" w:cs="Times New Roman"/>
          <w:b/>
          <w:bCs/>
          <w:caps/>
          <w:color w:val="000000"/>
          <w:sz w:val="30"/>
          <w:szCs w:val="30"/>
          <w:lang w:eastAsia="ru-RU"/>
        </w:rPr>
        <w:t>НОВЫЕ ФОРМЫ ФИНАНСОВОЙ ПОДДЕРЖКИ ПРЕДПРИНИМАТЕЛЕЙ САМАРСКОЙ ОБЛАСТИ</w:t>
      </w:r>
    </w:p>
    <w:p w:rsidR="00562FA4" w:rsidRPr="00562FA4" w:rsidRDefault="00562FA4" w:rsidP="00562FA4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8A8989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://pohr.ru/wps/wp-content/themes/Incredy/images/da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://pohr.ru/wps/wp-content/themes/Incredy/images/dat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ER2nxgLAwAADQYAAA4AAAAAAAAAAAAAAAAALgIAAGRycy9lMm9Eb2MueG1s&#10;UEsBAi0AFAAGAAgAAAAhAEyg6SzYAAAAAwEAAA8AAAAAAAAAAAAAAAAAZQUAAGRycy9kb3ducmV2&#10;LnhtbFBLBQYAAAAABAAEAPMAAABqBgAAAAA=&#10;" filled="f" stroked="f">
                <o:lock v:ext="edit" aspectratio="t"/>
                <w10:anchorlock/>
              </v:rect>
            </w:pict>
          </mc:Fallback>
        </mc:AlternateContent>
      </w:r>
      <w:r w:rsidRPr="00562FA4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июля 23, 2018 </w:t>
      </w:r>
      <w:r>
        <w:rPr>
          <w:rFonts w:ascii="Arial" w:eastAsia="Times New Roman" w:hAnsi="Arial" w:cs="Arial"/>
          <w:noProof/>
          <w:color w:val="8A8989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http://pohr.ru/wps/wp-content/themes/Incredy/images/us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hr.ru/wps/wp-content/themes/Incredy/images/us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2FA4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 </w:t>
      </w:r>
      <w:proofErr w:type="spellStart"/>
      <w:r w:rsidRPr="00562FA4">
        <w:rPr>
          <w:rFonts w:ascii="Arial" w:eastAsia="Times New Roman" w:hAnsi="Arial" w:cs="Arial"/>
          <w:color w:val="8A8989"/>
          <w:sz w:val="18"/>
          <w:szCs w:val="18"/>
          <w:lang w:eastAsia="ru-RU"/>
        </w:rPr>
        <w:t>Press</w:t>
      </w:r>
      <w:proofErr w:type="spellEnd"/>
    </w:p>
    <w:p w:rsidR="00562FA4" w:rsidRPr="00562FA4" w:rsidRDefault="00562FA4" w:rsidP="00562FA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Гарантийный фонд Самарской области готов предложить субъектам малого и среднего предпринимательства </w:t>
      </w:r>
      <w:proofErr w:type="spell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микрозаймы</w:t>
      </w:r>
      <w:proofErr w:type="spell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с низкой процентной ставкой на прозрачных условиях.</w:t>
      </w:r>
    </w:p>
    <w:p w:rsidR="00562FA4" w:rsidRPr="00562FA4" w:rsidRDefault="00562FA4" w:rsidP="00562FA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proofErr w:type="gramStart"/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 xml:space="preserve">Основные условия предоставления </w:t>
      </w:r>
      <w:proofErr w:type="spellStart"/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микрозаймов</w:t>
      </w:r>
      <w:proofErr w:type="spellEnd"/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*: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заявитель – субъект малого и среднего предпринимательства (СМСП), включенный в единый реестр СМСП (</w:t>
      </w:r>
      <w:hyperlink r:id="rId6" w:history="1">
        <w:r w:rsidRPr="00562FA4">
          <w:rPr>
            <w:rFonts w:ascii="inherit" w:eastAsia="Times New Roman" w:hAnsi="inherit" w:cs="Arial"/>
            <w:color w:val="147CE6"/>
            <w:sz w:val="21"/>
            <w:szCs w:val="21"/>
            <w:bdr w:val="none" w:sz="0" w:space="0" w:color="auto" w:frame="1"/>
            <w:lang w:eastAsia="ru-RU"/>
          </w:rPr>
          <w:t>https://rmsp.nalog.ru/)</w:t>
        </w:r>
      </w:hyperlink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, зарегистрированный и осуществляющий деятельность на территории Самарской области;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 xml:space="preserve">период деятельности заявителя (на момент подачи заявления на предоставление </w:t>
      </w:r>
      <w:proofErr w:type="spell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микрозайма</w:t>
      </w:r>
      <w:proofErr w:type="spell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) – не менее 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6 месяцев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процентная ставка – 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8% годовых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 xml:space="preserve">сумма </w:t>
      </w:r>
      <w:proofErr w:type="spell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микрозайма</w:t>
      </w:r>
      <w:proofErr w:type="spell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– 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до 3 000 000 рублей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;</w:t>
      </w:r>
      <w:proofErr w:type="gram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 xml:space="preserve">срок </w:t>
      </w:r>
      <w:proofErr w:type="spell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микрозайм</w:t>
      </w:r>
      <w:proofErr w:type="gram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а</w:t>
      </w:r>
      <w:proofErr w:type="spell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-</w:t>
      </w:r>
      <w:proofErr w:type="gram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не более 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36 месяцев 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включительно;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график погашения -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 индивидуальный;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обеспечение – залог, банковская гарантия, поручительство (дополнительное обеспечение).</w:t>
      </w:r>
    </w:p>
    <w:p w:rsidR="00562FA4" w:rsidRPr="00562FA4" w:rsidRDefault="00562FA4" w:rsidP="00562FA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* С подробной информацией, условиями предоставления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микрозаймов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, требованиями к заявителям, формами документов (заявками, договорами) Вы можете ознакомиться на сайте:</w:t>
      </w:r>
      <w:hyperlink r:id="rId7" w:history="1">
        <w:r w:rsidRPr="00562FA4">
          <w:rPr>
            <w:rFonts w:ascii="inherit" w:eastAsia="Times New Roman" w:hAnsi="inherit" w:cs="Arial"/>
            <w:i/>
            <w:iCs/>
            <w:color w:val="147CE6"/>
            <w:sz w:val="21"/>
            <w:szCs w:val="21"/>
            <w:bdr w:val="none" w:sz="0" w:space="0" w:color="auto" w:frame="1"/>
            <w:lang w:eastAsia="ru-RU"/>
          </w:rPr>
          <w:t> http://gfso.ru/mikrozajm</w:t>
        </w:r>
      </w:hyperlink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 и в офисах АО «ГФСО», расположенных по следующим адресам:</w:t>
      </w:r>
    </w:p>
    <w:p w:rsidR="00562FA4" w:rsidRPr="00562FA4" w:rsidRDefault="00562FA4" w:rsidP="00562FA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-г. Самара. 443001.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ул</w:t>
      </w:r>
      <w:proofErr w:type="gram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.Г</w:t>
      </w:r>
      <w:proofErr w:type="gram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алактионовская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, 132 (6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эт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),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тел./факс: (846)989-50-77, +7937 989-50-77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-г. Тольятти, 445051, ул. Фрунзе 8, оф.502,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тел. (8482) 555-219,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Акционерное   общество  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Микрокредитная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   компания   «Гарантийный   фонд   Самарской   области»   (ИНН 6315007931. ОГРН 1156313090010. </w:t>
      </w:r>
      <w:proofErr w:type="gram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Номер в реестре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микрофинансовых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 организаций 001603336007847)</w:t>
      </w:r>
      <w:proofErr w:type="gramEnd"/>
    </w:p>
    <w:p w:rsidR="00562FA4" w:rsidRPr="00562FA4" w:rsidRDefault="00562FA4" w:rsidP="00562FA4">
      <w:pPr>
        <w:shd w:val="clear" w:color="auto" w:fill="FFFFFF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АО    </w:t>
      </w:r>
      <w:proofErr w:type="spell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Микрокредитная</w:t>
      </w:r>
      <w:proofErr w:type="spell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   компания    «Гарантийный   фонд   Самарской    области»    готов предложить субъектам малого и среднего предпринимательства региона:</w:t>
      </w:r>
    </w:p>
    <w:p w:rsidR="00562FA4" w:rsidRPr="00562FA4" w:rsidRDefault="00562FA4" w:rsidP="00562FA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1. Поручительства по кредитам, банковским гарантиям при недостаточности собственного залогового обеспечения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Основные условия предоставления поручительства*: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-    заемщик – субъект малого и среднего предпринимательства (СМСП), включенный в единый реестр СМСП (</w:t>
      </w:r>
      <w:hyperlink r:id="rId8" w:history="1">
        <w:r w:rsidRPr="00562FA4">
          <w:rPr>
            <w:rFonts w:ascii="inherit" w:eastAsia="Times New Roman" w:hAnsi="inherit" w:cs="Arial"/>
            <w:color w:val="147CE6"/>
            <w:sz w:val="21"/>
            <w:szCs w:val="21"/>
            <w:bdr w:val="none" w:sz="0" w:space="0" w:color="auto" w:frame="1"/>
            <w:lang w:eastAsia="ru-RU"/>
          </w:rPr>
          <w:t>https://rmsp.nalog.ru</w:t>
        </w:r>
      </w:hyperlink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)</w:t>
      </w:r>
      <w:proofErr w:type="gram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.</w:t>
      </w:r>
      <w:proofErr w:type="gram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 xml:space="preserve"> </w:t>
      </w:r>
      <w:proofErr w:type="gramStart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з</w:t>
      </w:r>
      <w:proofErr w:type="gramEnd"/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арегистрированный и осуществляющий деятельность на территории Самарской области или организация инфраструктуры поддержки СМСП Самарской области;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-    поручительство предоставляется по кредитным договорам (договорам о предоставлении банковской гарантии);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-    поручительство Гарантийного фонда покрывает до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 50%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 от суммы необходимого залогового обеспечения;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-    размер поручительство на одного СМСП составляет до 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25 000 000 рублей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;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  <w:t>-    плата  за  поручительство   составляет  от </w:t>
      </w: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 0,5% до  0,75%  годовых 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t>от суммы поручительства    в    зависимости    от    вида   деятельности    заемщика    и    цели кредитования.</w:t>
      </w:r>
    </w:p>
    <w:p w:rsidR="00562FA4" w:rsidRPr="00562FA4" w:rsidRDefault="00562FA4" w:rsidP="00562FA4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562FA4">
        <w:rPr>
          <w:rFonts w:ascii="inherit" w:eastAsia="Times New Roman" w:hAnsi="inherit" w:cs="Arial"/>
          <w:b/>
          <w:bCs/>
          <w:color w:val="504D4D"/>
          <w:sz w:val="21"/>
          <w:szCs w:val="21"/>
          <w:lang w:eastAsia="ru-RU"/>
        </w:rPr>
        <w:t>Мы делаем финансовые ресурсы доступными!</w:t>
      </w:r>
    </w:p>
    <w:p w:rsidR="00562FA4" w:rsidRPr="00562FA4" w:rsidRDefault="00562FA4" w:rsidP="00562FA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bookmarkStart w:id="0" w:name="_GoBack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* С подробной информацией, условиями предоставления поручительства, требованиями к заявителям, формами документов (заявками, договорами) Вы можете ознакомиться на сайте:</w:t>
      </w:r>
      <w:hyperlink r:id="rId9" w:history="1">
        <w:r w:rsidRPr="00562FA4">
          <w:rPr>
            <w:rFonts w:ascii="inherit" w:eastAsia="Times New Roman" w:hAnsi="inherit" w:cs="Arial"/>
            <w:i/>
            <w:iCs/>
            <w:color w:val="147CE6"/>
            <w:sz w:val="21"/>
            <w:szCs w:val="21"/>
            <w:bdr w:val="none" w:sz="0" w:space="0" w:color="auto" w:frame="1"/>
            <w:lang w:eastAsia="ru-RU"/>
          </w:rPr>
          <w:t> http://www.gfso.ru/predprinimateljam</w:t>
        </w:r>
      </w:hyperlink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 и в офисах АО «ГФСО», расположенных по следующим </w:t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lastRenderedPageBreak/>
        <w:t>адресам:</w:t>
      </w:r>
      <w:r w:rsidRPr="00562FA4">
        <w:rPr>
          <w:rFonts w:ascii="inherit" w:eastAsia="Times New Roman" w:hAnsi="inherit" w:cs="Arial"/>
          <w:color w:val="504D4D"/>
          <w:sz w:val="21"/>
          <w:szCs w:val="21"/>
          <w:lang w:eastAsia="ru-RU"/>
        </w:rPr>
        <w:br/>
      </w:r>
    </w:p>
    <w:p w:rsidR="00562FA4" w:rsidRPr="00562FA4" w:rsidRDefault="00562FA4" w:rsidP="00562FA4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504D4D"/>
          <w:sz w:val="21"/>
          <w:szCs w:val="21"/>
          <w:lang w:eastAsia="ru-RU"/>
        </w:rPr>
      </w:pP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-г. Самара. 443001.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ул</w:t>
      </w:r>
      <w:proofErr w:type="gram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.Г</w:t>
      </w:r>
      <w:proofErr w:type="gram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алактионовская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. 132 (6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эт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).</w:t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br/>
        <w:t>тел./факс: (846)989-50-77, +7937 989-50-77</w:t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br/>
        <w:t xml:space="preserve">-г. Тольятти, 445051.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ул.Фрунзе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 8. оф.502,</w:t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br/>
        <w:t>тел. (8482) 555-219.</w:t>
      </w:r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br/>
        <w:t xml:space="preserve">Акционерное общество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Микрокредитная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 компания «Гарантийный фонд Самарской области» (ИНН 6315007931, ОГРН 1156313090010. номер в реестре </w:t>
      </w:r>
      <w:proofErr w:type="spellStart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>микрофинансовых</w:t>
      </w:r>
      <w:proofErr w:type="spellEnd"/>
      <w:r w:rsidRPr="00562FA4">
        <w:rPr>
          <w:rFonts w:ascii="inherit" w:eastAsia="Times New Roman" w:hAnsi="inherit" w:cs="Arial"/>
          <w:i/>
          <w:iCs/>
          <w:color w:val="504D4D"/>
          <w:sz w:val="21"/>
          <w:szCs w:val="21"/>
          <w:bdr w:val="none" w:sz="0" w:space="0" w:color="auto" w:frame="1"/>
          <w:lang w:eastAsia="ru-RU"/>
        </w:rPr>
        <w:t xml:space="preserve"> организаций 001603336007847)</w:t>
      </w:r>
    </w:p>
    <w:bookmarkEnd w:id="0"/>
    <w:p w:rsidR="00E56246" w:rsidRDefault="00E56246"/>
    <w:sectPr w:rsidR="00E56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46"/>
    <w:rsid w:val="00562FA4"/>
    <w:rsid w:val="00E5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2FA4"/>
  </w:style>
  <w:style w:type="paragraph" w:styleId="a3">
    <w:name w:val="Normal (Web)"/>
    <w:basedOn w:val="a"/>
    <w:uiPriority w:val="99"/>
    <w:semiHidden/>
    <w:unhideWhenUsed/>
    <w:rsid w:val="0056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FA4"/>
    <w:rPr>
      <w:b/>
      <w:bCs/>
    </w:rPr>
  </w:style>
  <w:style w:type="character" w:styleId="a5">
    <w:name w:val="Hyperlink"/>
    <w:basedOn w:val="a0"/>
    <w:uiPriority w:val="99"/>
    <w:semiHidden/>
    <w:unhideWhenUsed/>
    <w:rsid w:val="00562FA4"/>
    <w:rPr>
      <w:color w:val="0000FF"/>
      <w:u w:val="single"/>
    </w:rPr>
  </w:style>
  <w:style w:type="character" w:styleId="a6">
    <w:name w:val="Emphasis"/>
    <w:basedOn w:val="a0"/>
    <w:uiPriority w:val="20"/>
    <w:qFormat/>
    <w:rsid w:val="00562F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F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62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2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62FA4"/>
  </w:style>
  <w:style w:type="paragraph" w:styleId="a3">
    <w:name w:val="Normal (Web)"/>
    <w:basedOn w:val="a"/>
    <w:uiPriority w:val="99"/>
    <w:semiHidden/>
    <w:unhideWhenUsed/>
    <w:rsid w:val="0056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FA4"/>
    <w:rPr>
      <w:b/>
      <w:bCs/>
    </w:rPr>
  </w:style>
  <w:style w:type="character" w:styleId="a5">
    <w:name w:val="Hyperlink"/>
    <w:basedOn w:val="a0"/>
    <w:uiPriority w:val="99"/>
    <w:semiHidden/>
    <w:unhideWhenUsed/>
    <w:rsid w:val="00562FA4"/>
    <w:rPr>
      <w:color w:val="0000FF"/>
      <w:u w:val="single"/>
    </w:rPr>
  </w:style>
  <w:style w:type="character" w:styleId="a6">
    <w:name w:val="Emphasis"/>
    <w:basedOn w:val="a0"/>
    <w:uiPriority w:val="20"/>
    <w:qFormat/>
    <w:rsid w:val="00562FA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62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2F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fso.ru/mikrozaj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msp.nalog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fso.ru/predprinimatel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2845</Characters>
  <Application>Microsoft Office Word</Application>
  <DocSecurity>0</DocSecurity>
  <Lines>23</Lines>
  <Paragraphs>6</Paragraphs>
  <ScaleCrop>false</ScaleCrop>
  <Company>Администрация сп М.Толкай</Company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М.Толкай</dc:creator>
  <cp:keywords/>
  <dc:description/>
  <cp:lastModifiedBy>сп М.Толкай</cp:lastModifiedBy>
  <cp:revision>3</cp:revision>
  <dcterms:created xsi:type="dcterms:W3CDTF">2019-01-03T16:10:00Z</dcterms:created>
  <dcterms:modified xsi:type="dcterms:W3CDTF">2019-01-03T16:11:00Z</dcterms:modified>
</cp:coreProperties>
</file>