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AC" w:rsidRPr="000C46AC" w:rsidRDefault="000C46AC" w:rsidP="000C46AC">
      <w:pPr>
        <w:shd w:val="clear" w:color="auto" w:fill="FFFFFF"/>
        <w:spacing w:after="120" w:line="42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eastAsia="ru-RU"/>
        </w:rPr>
      </w:pPr>
      <w:r w:rsidRPr="000C46AC"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eastAsia="ru-RU"/>
        </w:rPr>
        <w:t>ПАМЯТКА РАБОТОДАТЕЛЮ. НЕ ДОПУСТИТЬ ДИСКРИМИНАЦИИ ПО ВОЗРАСТУ</w:t>
      </w:r>
    </w:p>
    <w:p w:rsidR="000C46AC" w:rsidRPr="000C46AC" w:rsidRDefault="000C46AC" w:rsidP="000C46AC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8A898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8A8989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pohr.ru/wps/wp-content/themes/Incredy/images/da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pohr.ru/wps/wp-content/themes/Incredy/images/dat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E8KzsLAwAAD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0C46AC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 ноября 20, 2018 </w:t>
      </w:r>
      <w:r>
        <w:rPr>
          <w:rFonts w:ascii="Arial" w:eastAsia="Times New Roman" w:hAnsi="Arial" w:cs="Arial"/>
          <w:noProof/>
          <w:color w:val="8A8989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http://pohr.ru/wps/wp-content/themes/Incredy/images/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hr.ru/wps/wp-content/themes/Incredy/images/us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6AC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 </w:t>
      </w:r>
      <w:proofErr w:type="spellStart"/>
      <w:r w:rsidRPr="000C46AC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admin</w:t>
      </w:r>
      <w:proofErr w:type="spellEnd"/>
    </w:p>
    <w:p w:rsidR="000C46AC" w:rsidRPr="000C46AC" w:rsidRDefault="000C46AC" w:rsidP="000C46AC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ПАМЯТКА РАБОТОДАТЕЛЮ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Не допустить дискриминации по возрасту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 </w:t>
      </w:r>
    </w:p>
    <w:p w:rsidR="000C46AC" w:rsidRPr="000C46AC" w:rsidRDefault="000C46AC" w:rsidP="000C46A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proofErr w:type="gramStart"/>
      <w:r w:rsidRPr="000C46AC">
        <w:rPr>
          <w:rFonts w:ascii="inherit" w:eastAsia="Times New Roman" w:hAnsi="inherit" w:cs="Arial"/>
          <w:b/>
          <w:bCs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Статья 3 Трудового кодекса Российской Федерации</w:t>
      </w: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 устанавливает, что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</w:t>
      </w:r>
      <w:proofErr w:type="gram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, не </w:t>
      </w:r>
      <w:proofErr w:type="gram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связанных</w:t>
      </w:r>
      <w:proofErr w:type="gram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с деловыми качествами работника.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Таким образом, </w:t>
      </w:r>
      <w:r w:rsidRPr="000C46AC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 xml:space="preserve">правила приема на работу граждан </w:t>
      </w:r>
      <w:proofErr w:type="spellStart"/>
      <w:r w:rsidRPr="000C46AC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 xml:space="preserve"> возраста</w:t>
      </w: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 не должны отличаться от правил приема на работу других работников. Трудовым кодексом РФ установлен только возраст, с которого допускается заключением трудового договора. Предельный возраст для заключения трудового договора законом не установлен.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Отказать гражданину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возраста в заключени</w:t>
      </w:r>
      <w:proofErr w:type="gram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и</w:t>
      </w:r>
      <w:proofErr w:type="gram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трудового договора можно только по деловым качествам. Достижение указанного возраста не может быть основанием для отказа.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Согласно статье 64 Трудового кодекса РФ по письменному требованию лица, которому отказано в заключени</w:t>
      </w:r>
      <w:proofErr w:type="gram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и</w:t>
      </w:r>
      <w:proofErr w:type="gram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трудового договора, работодатель обязан сообщить причину отказа в письменной форме в срок не позднее чем в течение 7 рабочих дней со дня предъявления такого требования.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Отказ в заключени</w:t>
      </w:r>
      <w:proofErr w:type="gram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и</w:t>
      </w:r>
      <w:proofErr w:type="gram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трудового договора может быть обжалован в судебном порядке.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 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Особенности содержания трудового договора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 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Законодательство Российской Федерации не содержит запрета на работу граждан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возраста по совместительству.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В соответствии со статьей 60</w:t>
      </w:r>
      <w:r w:rsidRPr="000C46AC">
        <w:rPr>
          <w:rFonts w:ascii="inherit" w:eastAsia="Times New Roman" w:hAnsi="inherit" w:cs="Arial"/>
          <w:color w:val="504D4D"/>
          <w:sz w:val="21"/>
          <w:szCs w:val="21"/>
          <w:vertAlign w:val="superscript"/>
          <w:lang w:eastAsia="ru-RU"/>
        </w:rPr>
        <w:t>1 </w:t>
      </w: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Трудового кодекса РФ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Работники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возраста, являющиеся совместителями, имеют право </w:t>
      </w:r>
      <w:proofErr w:type="gram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на те</w:t>
      </w:r>
      <w:proofErr w:type="gram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Принудительное заключение срочного трудового договора с работниками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возраста недопустимо. То есть работодатель не имеет права настаивать на заключении срочного договора, если характер предстоящей работы и условия ее выполнения позволяют бессрочный трудовой договор. Если впоследствии судом будет установлено, что работника вынудили заключить срочный трудовой договор, такой договор будет признан бессрочным (заключенным на неопределенный срок).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lastRenderedPageBreak/>
        <w:t xml:space="preserve">Установление трудовых отношений на определенный срок без учета характера работы и условий ее выполнения допускается только с теми работниками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возраста, кто поступает на работу. Закон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Трудовое законодательство не содержит запрета для установления испытания при приеме граждан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возраста на работу. Поэтому испытание им может устанавливаться на общих основаниях в соответствии со статьей 70 Трудового кодекса РФ. Условие об испытании следует включать в те</w:t>
      </w:r>
      <w:proofErr w:type="gram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кст тр</w:t>
      </w:r>
      <w:proofErr w:type="gram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удового договора и в приказ о приеме работника на работу. Отсутствие в трудовом договоре условия об испытании означает, что работник принят на работу без испытания.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 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Особенности режима рабочего времени и времени отдыха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Законодательством Российской Федерации не установлены специальные требования к условиям труда и режиму работы работников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возраста. Общие советы работодателям по улучшению условий труда работников данной категории и производственной сферы приведены в пункте 13 Рекомендации № 162 «О пожилых трудящихся», утвержденной Международной организацией труда 23 июня 1980 г. Например, работодателям рекомендуется: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изменять формы организации труда, если они ведут к чрезмерному напряжению пожилых работников, в частности, путем ограничения сверхурочной работы;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приспосабливать рабочее место и задания к возможностям трудящегося лица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возраста, использую все имеющиеся технические средства, и в частности, принципы эргономики, чтобы сохранить здоровье и работоспособность и предупредить несчастные случаи;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организовать систематический контроль состояния здоровья пожилых работников;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обеспечить безопасность и гигиену труда работников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возраста.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Повышение гарантии работникам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возраста по сравнению с обычными работниками могут быть предусмотрены коллективным договором, соглашениями, локальными нормативными актами, трудовым договором.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Отпуска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Трудовым законодательством Российской Федерации установлены категории работников, которые имеют право уйти в отпуск в любое удобное для них время.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Кроме этого, правом на использование отпуска в удобное для них время обладают работники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возраста, если они признаны пострадавшими в результате аварии на Чернобыльской АЭС. Пунктом 5 статьи 14 Закона РФ от 15.05.1991 № 1244-1 «О социальной защите граждан, подвергшихся воздействию радиации вследствие катастрофы на чернобыльской АЭС» предусмотрен дополнительный оплачиваемый отпуск пострадавшим в результате аварии на Чернобыльской АЭС в количестве 14 календарных дней. </w:t>
      </w:r>
      <w:proofErr w:type="gram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Если работник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возраста имеет статус гражданина, подвергшегося воздействию радиации вследствие катастрофы на Чернобыльской АЭС, то названная льготы распространяется и на него.</w:t>
      </w:r>
      <w:proofErr w:type="gramEnd"/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Статьей 128 Трудового кодекса РФ предусматривается,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соглашением между работником и работодателем. В то же время на работодателей возлагается обязанность на основании </w:t>
      </w: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lastRenderedPageBreak/>
        <w:t xml:space="preserve">письменного заявления отдельных категорий работников предоставить отпуск без сохранения заработной платы в обязательном порядке (часть 2 статьи 128 Трудового кодекса РФ). Так, если работник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возраста – инвалид, то работодателя обязан предоставить отпуск без сохранения заработной платы до 60 календарных дней в году.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Если работник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возраста является родителем или женой (мужем) военнослужащих,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службы, то по его заявлению предоставляется отпуск без сохранения заработной платы в количестве до 14 календарных дней в году.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 </w:t>
      </w:r>
    </w:p>
    <w:p w:rsidR="000C46AC" w:rsidRPr="000C46AC" w:rsidRDefault="000C46AC" w:rsidP="000C46A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 xml:space="preserve">В России есть, как минимум, две объективные причины, по которым труд лиц старших возрастных групп, в том числе и </w:t>
      </w:r>
      <w:proofErr w:type="spellStart"/>
      <w:r w:rsidRPr="000C46AC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предпенсионого</w:t>
      </w:r>
      <w:proofErr w:type="spellEnd"/>
      <w:r w:rsidRPr="000C46AC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 xml:space="preserve"> возраста, должен быть востребован обществом</w:t>
      </w: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Первая связана со «старением» населения России, с неблагополучной демографической ситуацией, требующей максимального использования накопленного человеческого потенциала и, соответственно, продолжения трудовой деятельности опытных квалифицированных кадров.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Вторая причина обусловлена экономической незащищенностью пожилых граждан, связанной, в том числе, с низким уровнем государственного пенсионного обеспечения.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proofErr w:type="gram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Немаловажным является и то обстоятельство, что продолжение работы позволяет увеличить размер получаемой пенсионерами трудовой пенсии – она подлежит ежегодному перерасчету с учетом уплаченных работодателем за этот период страховых взносов, поскольку все работающие по трудовому договору граждане, включая работников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возраста, подлежат обязательному пенсионному страхованию (статья 7 Федерального закона от 15.12.2001 г. № 167-ФЗ «Об обязательном пенсионном страховании в Российской Федерации»).</w:t>
      </w:r>
      <w:proofErr w:type="gram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Это значит, что на заработную плату и иные вознаграждения, выплачиваемые данной категории  работников, работодатель обязан начислять страховые взносы. При этом на основании пункта 1 статьи 15 работодатель по требованию работников обязан предоставлять им информацию о перечислении взносов в Пенсионный фонд Российской Федерации.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 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 xml:space="preserve">За нарушение трудовых прав работников </w:t>
      </w:r>
      <w:proofErr w:type="spellStart"/>
      <w:r w:rsidRPr="000C46AC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предпенсионного</w:t>
      </w:r>
      <w:proofErr w:type="spellEnd"/>
      <w:r w:rsidRPr="000C46AC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 xml:space="preserve"> возраста предусмотрена административная ответственность юридических лиц</w:t>
      </w: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: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proofErr w:type="gram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в соответствии с частью 1 статьи 5.27 Кодекса Российской Федерации об административных правонарушениях – за нарушение порядка оформления приема на работу, оформления трудового договора; порядка прекращения трудового договора (принуждение к увольнению, привлечение к дисциплинарной ответственности в виде увольнения); за непредставление отпуска; за нарушение режима рабочего времени и времени отдыха – от 30  до 50 тыс. рублей;</w:t>
      </w:r>
      <w:proofErr w:type="gramEnd"/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в соответствии с частью 3 статьи 5.27.1 Кодекса Российской Федерации об административных правонарушениях – за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непрохождение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работниками обязательных медицинских осмотров – от 110 до 130 тыс. рублей;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в соответствии с частью 2 статьи 5.27.1 Кодекса Российской Федерации об административных правонарушениях – за </w:t>
      </w:r>
      <w:proofErr w:type="spellStart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непроведение</w:t>
      </w:r>
      <w:proofErr w:type="spellEnd"/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специальной оценки условий труда – от 60 до 80 тыс. рублей.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 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lastRenderedPageBreak/>
        <w:t>Межведомственная рабочая группа по снижению неформальной занятости муниципального района Похвистневский Самарской области</w:t>
      </w: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.</w:t>
      </w:r>
    </w:p>
    <w:p w:rsidR="000C46AC" w:rsidRPr="000C46AC" w:rsidRDefault="000C46AC" w:rsidP="000C46AC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Телефоны горячей линии 8(84656) 2-41-57; 2-29-85;</w:t>
      </w:r>
    </w:p>
    <w:p w:rsidR="000C46AC" w:rsidRPr="000C46AC" w:rsidRDefault="000C46AC" w:rsidP="000C46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4D4D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04D4D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http://pohr.ru/wps/wp-content/themes/Incredy/images/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hr.ru/wps/wp-content/themes/Incredy/images/fol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6AC">
        <w:rPr>
          <w:rFonts w:ascii="Arial" w:eastAsia="Times New Roman" w:hAnsi="Arial" w:cs="Arial"/>
          <w:color w:val="504D4D"/>
          <w:sz w:val="17"/>
          <w:szCs w:val="17"/>
          <w:lang w:eastAsia="ru-RU"/>
        </w:rPr>
        <w:t> Опубликовано в рубрике </w:t>
      </w:r>
      <w:hyperlink r:id="rId7" w:tooltip="Просмотреть все записи в рубрике «Неформальная занятость»" w:history="1">
        <w:r w:rsidRPr="000C46AC">
          <w:rPr>
            <w:rFonts w:ascii="inherit" w:eastAsia="Times New Roman" w:hAnsi="inherit" w:cs="Arial"/>
            <w:color w:val="147CE6"/>
            <w:sz w:val="17"/>
            <w:szCs w:val="17"/>
            <w:bdr w:val="none" w:sz="0" w:space="0" w:color="auto" w:frame="1"/>
            <w:lang w:eastAsia="ru-RU"/>
          </w:rPr>
          <w:t>Неформальная занятость</w:t>
        </w:r>
      </w:hyperlink>
    </w:p>
    <w:p w:rsidR="000C46AC" w:rsidRPr="000C46AC" w:rsidRDefault="000C46AC" w:rsidP="000C46AC">
      <w:pPr>
        <w:shd w:val="clear" w:color="auto" w:fill="FFFFFF"/>
        <w:spacing w:after="75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0C46AC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« </w:t>
      </w:r>
      <w:hyperlink r:id="rId8" w:history="1">
        <w:r w:rsidRPr="000C46AC">
          <w:rPr>
            <w:rFonts w:ascii="inherit" w:eastAsia="Times New Roman" w:hAnsi="inherit" w:cs="Arial"/>
            <w:color w:val="147CE6"/>
            <w:sz w:val="18"/>
            <w:szCs w:val="18"/>
            <w:bdr w:val="none" w:sz="0" w:space="0" w:color="auto" w:frame="1"/>
            <w:lang w:eastAsia="ru-RU"/>
          </w:rPr>
          <w:t>20.11.2018 Постановление № 929</w:t>
        </w:r>
      </w:hyperlink>
    </w:p>
    <w:p w:rsidR="000C46AC" w:rsidRPr="000C46AC" w:rsidRDefault="000C46AC" w:rsidP="000C46A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hyperlink r:id="rId9" w:history="1">
        <w:r w:rsidRPr="000C46AC">
          <w:rPr>
            <w:rFonts w:ascii="inherit" w:eastAsia="Times New Roman" w:hAnsi="inherit" w:cs="Arial"/>
            <w:color w:val="147CE6"/>
            <w:sz w:val="18"/>
            <w:szCs w:val="18"/>
            <w:bdr w:val="none" w:sz="0" w:space="0" w:color="auto" w:frame="1"/>
            <w:lang w:eastAsia="ru-RU"/>
          </w:rPr>
          <w:t>20.11.2018 Постановление № 928</w:t>
        </w:r>
      </w:hyperlink>
      <w:r w:rsidRPr="000C46AC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 »</w:t>
      </w:r>
    </w:p>
    <w:p w:rsidR="00F94DF2" w:rsidRDefault="00F94DF2">
      <w:bookmarkStart w:id="0" w:name="_GoBack"/>
      <w:bookmarkEnd w:id="0"/>
    </w:p>
    <w:sectPr w:rsidR="00F9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F2"/>
    <w:rsid w:val="000C46AC"/>
    <w:rsid w:val="00F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4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C46AC"/>
  </w:style>
  <w:style w:type="paragraph" w:styleId="a3">
    <w:name w:val="Normal (Web)"/>
    <w:basedOn w:val="a"/>
    <w:uiPriority w:val="99"/>
    <w:semiHidden/>
    <w:unhideWhenUsed/>
    <w:rsid w:val="000C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6AC"/>
    <w:rPr>
      <w:b/>
      <w:bCs/>
    </w:rPr>
  </w:style>
  <w:style w:type="character" w:styleId="a5">
    <w:name w:val="Emphasis"/>
    <w:basedOn w:val="a0"/>
    <w:uiPriority w:val="20"/>
    <w:qFormat/>
    <w:rsid w:val="000C46AC"/>
    <w:rPr>
      <w:i/>
      <w:iCs/>
    </w:rPr>
  </w:style>
  <w:style w:type="character" w:styleId="a6">
    <w:name w:val="Hyperlink"/>
    <w:basedOn w:val="a0"/>
    <w:uiPriority w:val="99"/>
    <w:semiHidden/>
    <w:unhideWhenUsed/>
    <w:rsid w:val="000C46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4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C46AC"/>
  </w:style>
  <w:style w:type="paragraph" w:styleId="a3">
    <w:name w:val="Normal (Web)"/>
    <w:basedOn w:val="a"/>
    <w:uiPriority w:val="99"/>
    <w:semiHidden/>
    <w:unhideWhenUsed/>
    <w:rsid w:val="000C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6AC"/>
    <w:rPr>
      <w:b/>
      <w:bCs/>
    </w:rPr>
  </w:style>
  <w:style w:type="character" w:styleId="a5">
    <w:name w:val="Emphasis"/>
    <w:basedOn w:val="a0"/>
    <w:uiPriority w:val="20"/>
    <w:qFormat/>
    <w:rsid w:val="000C46AC"/>
    <w:rPr>
      <w:i/>
      <w:iCs/>
    </w:rPr>
  </w:style>
  <w:style w:type="character" w:styleId="a6">
    <w:name w:val="Hyperlink"/>
    <w:basedOn w:val="a0"/>
    <w:uiPriority w:val="99"/>
    <w:semiHidden/>
    <w:unhideWhenUsed/>
    <w:rsid w:val="000C46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63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r.ru/?p=39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r.ru/?cat=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hr.ru/?p=39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8264</Characters>
  <Application>Microsoft Office Word</Application>
  <DocSecurity>0</DocSecurity>
  <Lines>68</Lines>
  <Paragraphs>19</Paragraphs>
  <ScaleCrop>false</ScaleCrop>
  <Company>Администрация сп М.Толкай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3</cp:revision>
  <dcterms:created xsi:type="dcterms:W3CDTF">2019-01-03T15:55:00Z</dcterms:created>
  <dcterms:modified xsi:type="dcterms:W3CDTF">2019-01-03T15:56:00Z</dcterms:modified>
</cp:coreProperties>
</file>