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7F" w:rsidRPr="005E7D35" w:rsidRDefault="00C0637F" w:rsidP="00C0637F">
      <w:pPr>
        <w:pStyle w:val="a3"/>
        <w:ind w:left="0" w:firstLine="709"/>
        <w:jc w:val="both"/>
        <w:rPr>
          <w:rFonts w:ascii="Times" w:hAnsi="Times" w:cs="Times"/>
          <w:b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b/>
          <w:color w:val="000000" w:themeColor="text1"/>
          <w:sz w:val="20"/>
          <w:szCs w:val="20"/>
        </w:rPr>
        <w:t>Как образуются избирательные участки?</w:t>
      </w:r>
    </w:p>
    <w:p w:rsidR="00C0637F" w:rsidRPr="005E7D35" w:rsidRDefault="00C0637F" w:rsidP="00C0637F">
      <w:pPr>
        <w:pStyle w:val="a3"/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color w:val="000000" w:themeColor="text1"/>
          <w:sz w:val="20"/>
          <w:szCs w:val="20"/>
        </w:rPr>
        <w:t>Статья 19 Федерального закона «Об основных гарантиях…» устанавливает общие требования к формированию избирательных участков. В их числе требование о том, что избирательные участки образуются на основании данных о числе избирателей из расчета не более чем 3 тысячи избирателей на каждом участке. При этом по общему правилу избирательные участки образуются главой местной администрации сроком на пять лет.</w:t>
      </w:r>
    </w:p>
    <w:p w:rsidR="00C0637F" w:rsidRPr="005E7D35" w:rsidRDefault="00C0637F" w:rsidP="00C0637F">
      <w:pPr>
        <w:pStyle w:val="a3"/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color w:val="000000" w:themeColor="text1"/>
          <w:sz w:val="20"/>
          <w:szCs w:val="20"/>
        </w:rPr>
        <w:t xml:space="preserve">В то же время закон допускает, что в местах временного пребывания избирателей (больницах, санаториях, домах отдыха, на вокзалах, в аэропортах, местах содержания под </w:t>
      </w:r>
      <w:proofErr w:type="gramStart"/>
      <w:r w:rsidRPr="005E7D35">
        <w:rPr>
          <w:rFonts w:ascii="Times" w:hAnsi="Times" w:cs="Times"/>
          <w:color w:val="000000" w:themeColor="text1"/>
          <w:sz w:val="20"/>
          <w:szCs w:val="20"/>
        </w:rPr>
        <w:t>стражей</w:t>
      </w:r>
      <w:proofErr w:type="gramEnd"/>
      <w:r w:rsidRPr="005E7D35">
        <w:rPr>
          <w:rFonts w:ascii="Times" w:hAnsi="Times" w:cs="Times"/>
          <w:color w:val="000000" w:themeColor="text1"/>
          <w:sz w:val="20"/>
          <w:szCs w:val="20"/>
        </w:rPr>
        <w:t xml:space="preserve"> подозреваемых и обвиняемых и других местах временного пребывания) избирательные участки в исключительных случаях могут образовываться по согласованию с вышестоящей избирательной комиссией не позднее чем за 3 дня до дня голосования. При этом в местах временного пребывания избирателей, например, в больницах, на предприятиях с непрерывным циклом работы должны создаваться условия сохранения тайны волеизъявления избирателей при осуществлении голосования, что требует внимания наблюдателей на соответствующих избирательных участках для обеспечения свободного волеизъявления избирателей.</w:t>
      </w:r>
    </w:p>
    <w:p w:rsidR="00C0637F" w:rsidRPr="005E7D35" w:rsidRDefault="00C0637F" w:rsidP="00C0637F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7D35">
        <w:rPr>
          <w:rFonts w:ascii="Times New Roman" w:hAnsi="Times New Roman" w:cs="Times New Roman"/>
          <w:sz w:val="20"/>
          <w:szCs w:val="20"/>
        </w:rPr>
        <w:t>При подготовке разъяснений использованы материалы брошюры «Актуальные вопросы и ответы. Выборы и избирательное право». Совместный проект Общественной палаты Самарской области и прокуратуры Самарской области. Руководитель проекта Полянский В.В.</w:t>
      </w:r>
    </w:p>
    <w:p w:rsidR="00C0637F" w:rsidRPr="005E7D35" w:rsidRDefault="00C0637F" w:rsidP="00C0637F">
      <w:pPr>
        <w:pStyle w:val="a3"/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</w:p>
    <w:p w:rsidR="00C0637F" w:rsidRPr="005E7D35" w:rsidRDefault="00C0637F" w:rsidP="00C0637F">
      <w:pPr>
        <w:pStyle w:val="a3"/>
        <w:ind w:left="0" w:firstLine="709"/>
        <w:jc w:val="both"/>
        <w:rPr>
          <w:rFonts w:ascii="Times" w:hAnsi="Times" w:cs="Times"/>
          <w:b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b/>
          <w:color w:val="000000" w:themeColor="text1"/>
          <w:sz w:val="20"/>
          <w:szCs w:val="20"/>
        </w:rPr>
        <w:t>Как граждане должны получать информацию об избирательных участках, месте нахождения помещений для голосования?</w:t>
      </w:r>
    </w:p>
    <w:p w:rsidR="00C0637F" w:rsidRPr="005E7D35" w:rsidRDefault="00C0637F" w:rsidP="00C0637F">
      <w:pPr>
        <w:pStyle w:val="a3"/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color w:val="000000" w:themeColor="text1"/>
          <w:sz w:val="20"/>
          <w:szCs w:val="20"/>
        </w:rPr>
        <w:t xml:space="preserve">Частью 7 стать 19 Федерального закона «Об основных гарантиях…» установлено, что списки избирательных участков с указанием их границ и номеров, мест нахождения участковых избирательных комиссий и помещений для голосования должны быть опубликованы не </w:t>
      </w:r>
      <w:proofErr w:type="gramStart"/>
      <w:r w:rsidRPr="005E7D35">
        <w:rPr>
          <w:rFonts w:ascii="Times" w:hAnsi="Times" w:cs="Times"/>
          <w:color w:val="000000" w:themeColor="text1"/>
          <w:sz w:val="20"/>
          <w:szCs w:val="20"/>
        </w:rPr>
        <w:t>позднее</w:t>
      </w:r>
      <w:proofErr w:type="gramEnd"/>
      <w:r w:rsidRPr="005E7D35">
        <w:rPr>
          <w:rFonts w:ascii="Times" w:hAnsi="Times" w:cs="Times"/>
          <w:color w:val="000000" w:themeColor="text1"/>
          <w:sz w:val="20"/>
          <w:szCs w:val="20"/>
        </w:rPr>
        <w:t xml:space="preserve"> чем за 40 дней до дня голосования. Помимо этого участковые избирательные комиссии информируют граждан о месте нахождения помещения для голосования и времени голосования.</w:t>
      </w:r>
    </w:p>
    <w:p w:rsidR="00C0637F" w:rsidRPr="005E7D35" w:rsidRDefault="00C0637F" w:rsidP="00C0637F">
      <w:pPr>
        <w:pStyle w:val="a3"/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color w:val="000000" w:themeColor="text1"/>
          <w:sz w:val="20"/>
          <w:szCs w:val="20"/>
        </w:rPr>
        <w:t>Следует помнить, что замалчивание информации о времени и месте голосования может быть сигналом, свидетельствующим о стремлении искусственно снизить явку избирателей. Следует также обратить внимание на необходимость более активного информирования избирателей в случае, если помещение для голосования располагается не в традиционном для соответствующего избирательного участка месте.</w:t>
      </w:r>
    </w:p>
    <w:p w:rsidR="00C0637F" w:rsidRPr="005E7D35" w:rsidRDefault="00C0637F" w:rsidP="00C0637F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7D35">
        <w:rPr>
          <w:rFonts w:ascii="Times New Roman" w:hAnsi="Times New Roman" w:cs="Times New Roman"/>
          <w:sz w:val="20"/>
          <w:szCs w:val="20"/>
        </w:rPr>
        <w:t>При подготовке разъяснений использованы материалы брошюры «Актуальные вопросы и ответы. Выборы и избирательное право». Совместный проект Общественной палаты Самарской области и прокуратуры Самарской области. Руководитель проекта Полянский В.В.</w:t>
      </w:r>
    </w:p>
    <w:p w:rsidR="00C0637F" w:rsidRPr="005E7D35" w:rsidRDefault="00C0637F" w:rsidP="00C0637F">
      <w:pPr>
        <w:jc w:val="both"/>
        <w:rPr>
          <w:rFonts w:ascii="Times" w:hAnsi="Times" w:cs="Times"/>
          <w:color w:val="000000" w:themeColor="text1"/>
          <w:sz w:val="20"/>
          <w:szCs w:val="20"/>
        </w:rPr>
      </w:pPr>
    </w:p>
    <w:p w:rsidR="00C0637F" w:rsidRPr="005E7D35" w:rsidRDefault="00C0637F" w:rsidP="00C0637F">
      <w:pPr>
        <w:pStyle w:val="a3"/>
        <w:ind w:left="0" w:firstLine="709"/>
        <w:jc w:val="both"/>
        <w:rPr>
          <w:rFonts w:ascii="Times" w:hAnsi="Times" w:cs="Times"/>
          <w:b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b/>
          <w:color w:val="000000" w:themeColor="text1"/>
          <w:sz w:val="20"/>
          <w:szCs w:val="20"/>
        </w:rPr>
        <w:t xml:space="preserve">На какие принципиальные требования формирования избирательных комиссий стоит </w:t>
      </w:r>
      <w:proofErr w:type="gramStart"/>
      <w:r w:rsidRPr="005E7D35">
        <w:rPr>
          <w:rFonts w:ascii="Times" w:hAnsi="Times" w:cs="Times"/>
          <w:b/>
          <w:color w:val="000000" w:themeColor="text1"/>
          <w:sz w:val="20"/>
          <w:szCs w:val="20"/>
        </w:rPr>
        <w:t>обращать внимание  участникам</w:t>
      </w:r>
      <w:proofErr w:type="gramEnd"/>
      <w:r w:rsidRPr="005E7D35">
        <w:rPr>
          <w:rFonts w:ascii="Times" w:hAnsi="Times" w:cs="Times"/>
          <w:b/>
          <w:color w:val="000000" w:themeColor="text1"/>
          <w:sz w:val="20"/>
          <w:szCs w:val="20"/>
        </w:rPr>
        <w:t xml:space="preserve"> избирательной кампании?</w:t>
      </w:r>
    </w:p>
    <w:p w:rsidR="00C0637F" w:rsidRPr="005E7D35" w:rsidRDefault="00C0637F" w:rsidP="00C0637F">
      <w:pPr>
        <w:pStyle w:val="a3"/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color w:val="000000" w:themeColor="text1"/>
          <w:sz w:val="20"/>
          <w:szCs w:val="20"/>
        </w:rPr>
        <w:t>Федеральный закон «Об основных гарантиях…» предъявляет ряд следующих обязательных требований к формированию избирательных комиссий, направленных на обеспечение самостоятельности и независимости их деятельности:</w:t>
      </w:r>
    </w:p>
    <w:p w:rsidR="00C0637F" w:rsidRPr="005E7D35" w:rsidRDefault="00C0637F" w:rsidP="00C0637F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color w:val="000000" w:themeColor="text1"/>
          <w:sz w:val="20"/>
          <w:szCs w:val="20"/>
        </w:rPr>
        <w:t>в избирательную комиссию может быть назначено не более одного представителя от каждой политической партии, от каждого избирательного объединения, иного общественного объединения;</w:t>
      </w:r>
    </w:p>
    <w:p w:rsidR="00C0637F" w:rsidRPr="005E7D35" w:rsidRDefault="00C0637F" w:rsidP="00C0637F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color w:val="000000" w:themeColor="text1"/>
          <w:sz w:val="20"/>
          <w:szCs w:val="20"/>
        </w:rPr>
        <w:t>государственные и муниципальные служащие не могут составлять более половины от общего числа членов избирательной комиссии;</w:t>
      </w:r>
    </w:p>
    <w:p w:rsidR="00C0637F" w:rsidRPr="005E7D35" w:rsidRDefault="00C0637F" w:rsidP="00C0637F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color w:val="000000" w:themeColor="text1"/>
          <w:sz w:val="20"/>
          <w:szCs w:val="20"/>
        </w:rPr>
        <w:t>членами избирательных комиссий с правом решающего голоса не могут быть:</w:t>
      </w:r>
    </w:p>
    <w:p w:rsidR="00C0637F" w:rsidRPr="005E7D35" w:rsidRDefault="00C0637F" w:rsidP="00C0637F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color w:val="000000" w:themeColor="text1"/>
          <w:sz w:val="20"/>
          <w:szCs w:val="20"/>
        </w:rPr>
        <w:t>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государства,</w:t>
      </w:r>
    </w:p>
    <w:p w:rsidR="00C0637F" w:rsidRPr="005E7D35" w:rsidRDefault="00C0637F" w:rsidP="00C0637F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color w:val="000000" w:themeColor="text1"/>
          <w:sz w:val="20"/>
          <w:szCs w:val="20"/>
        </w:rPr>
        <w:t>граждане Российской Федерации, признанные решением суда, вступившим в законную силу, недееспособными, ограниченно дееспособными,</w:t>
      </w:r>
    </w:p>
    <w:p w:rsidR="00C0637F" w:rsidRPr="005E7D35" w:rsidRDefault="00C0637F" w:rsidP="00C0637F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color w:val="000000" w:themeColor="text1"/>
          <w:sz w:val="20"/>
          <w:szCs w:val="20"/>
        </w:rPr>
        <w:t>граждане Российской Федерации, не достигшие возраста 18 лет,</w:t>
      </w:r>
    </w:p>
    <w:p w:rsidR="00C0637F" w:rsidRPr="005E7D35" w:rsidRDefault="00C0637F" w:rsidP="00C0637F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color w:val="000000" w:themeColor="text1"/>
          <w:sz w:val="20"/>
          <w:szCs w:val="20"/>
        </w:rPr>
        <w:t>депутаты законодательных (представительных) органов государственной власти, органов местного самоуправления,</w:t>
      </w:r>
    </w:p>
    <w:p w:rsidR="00C0637F" w:rsidRPr="005E7D35" w:rsidRDefault="00C0637F" w:rsidP="00C0637F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color w:val="000000" w:themeColor="text1"/>
          <w:sz w:val="20"/>
          <w:szCs w:val="20"/>
        </w:rPr>
        <w:t>выборные должностные лица, а также главы местных администраций,</w:t>
      </w:r>
    </w:p>
    <w:p w:rsidR="00C0637F" w:rsidRPr="005E7D35" w:rsidRDefault="00C0637F" w:rsidP="00C0637F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color w:val="000000" w:themeColor="text1"/>
          <w:sz w:val="20"/>
          <w:szCs w:val="20"/>
        </w:rPr>
        <w:t>судьи, прокуроры,</w:t>
      </w:r>
    </w:p>
    <w:p w:rsidR="00C0637F" w:rsidRPr="005E7D35" w:rsidRDefault="00C0637F" w:rsidP="00C0637F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color w:val="000000" w:themeColor="text1"/>
          <w:sz w:val="20"/>
          <w:szCs w:val="20"/>
        </w:rPr>
        <w:t>на соответствующих выборах – кандидаты, их уполномоченные представители и доверенные лица, уполномоченные представители и доверенные лица избирательных объединений, выдвинувших кандидатов, списки кандидатов,</w:t>
      </w:r>
    </w:p>
    <w:p w:rsidR="00C0637F" w:rsidRPr="005E7D35" w:rsidRDefault="00C0637F" w:rsidP="00C0637F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color w:val="000000" w:themeColor="text1"/>
          <w:sz w:val="20"/>
          <w:szCs w:val="20"/>
        </w:rPr>
        <w:t>на соответствующих выборах – члены комиссий с правом совещательного голоса,</w:t>
      </w:r>
    </w:p>
    <w:p w:rsidR="00C0637F" w:rsidRPr="005E7D35" w:rsidRDefault="00C0637F" w:rsidP="00C0637F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color w:val="000000" w:themeColor="text1"/>
          <w:sz w:val="20"/>
          <w:szCs w:val="20"/>
        </w:rPr>
        <w:t>на соответствующих выборах – супруги и близкие родственники кандидатов, близкие родственники супругов кандидатов,</w:t>
      </w:r>
    </w:p>
    <w:p w:rsidR="00C0637F" w:rsidRPr="005E7D35" w:rsidRDefault="00C0637F" w:rsidP="00C0637F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color w:val="000000" w:themeColor="text1"/>
          <w:sz w:val="20"/>
          <w:szCs w:val="20"/>
        </w:rPr>
        <w:t>лица, которые находятся в непосредственном подчинении у кандидатов,</w:t>
      </w:r>
    </w:p>
    <w:p w:rsidR="00C0637F" w:rsidRPr="005E7D35" w:rsidRDefault="00C0637F" w:rsidP="00C0637F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  <w:proofErr w:type="gramStart"/>
      <w:r w:rsidRPr="005E7D35">
        <w:rPr>
          <w:rFonts w:ascii="Times" w:hAnsi="Times" w:cs="Times"/>
          <w:color w:val="000000" w:themeColor="text1"/>
          <w:sz w:val="20"/>
          <w:szCs w:val="20"/>
        </w:rPr>
        <w:lastRenderedPageBreak/>
        <w:t>лица, выведенные из состава комиссий по решению суда, а также лица, утратившие свои полномочия членов комиссий с правом решающего голоса в результате расформирования комиссии (за исключением лиц, в отношении которых судом было установлено отсутствие вины за допущенные комиссией нарушения), – в течение пяти лет со дня вступления в законную силу соответствующего решения суда,</w:t>
      </w:r>
      <w:proofErr w:type="gramEnd"/>
    </w:p>
    <w:p w:rsidR="00C0637F" w:rsidRPr="005E7D35" w:rsidRDefault="00C0637F" w:rsidP="00C0637F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color w:val="000000" w:themeColor="text1"/>
          <w:sz w:val="20"/>
          <w:szCs w:val="20"/>
        </w:rPr>
        <w:t>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– в течение одного года со дня вступления в законную силу решения (постановления) суда о назначении административного наказания.</w:t>
      </w:r>
    </w:p>
    <w:p w:rsidR="00C0637F" w:rsidRPr="005E7D35" w:rsidRDefault="00C0637F" w:rsidP="00C0637F">
      <w:pPr>
        <w:pStyle w:val="a3"/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  <w:proofErr w:type="gramStart"/>
      <w:r w:rsidRPr="005E7D35">
        <w:rPr>
          <w:rFonts w:ascii="Times" w:hAnsi="Times" w:cs="Times"/>
          <w:color w:val="000000" w:themeColor="text1"/>
          <w:sz w:val="20"/>
          <w:szCs w:val="20"/>
        </w:rPr>
        <w:t>Под непосредственным подчинением в законе понимаются служебные отношения между руководителем и подчиненным, при которых руководитель обладает в отношении подчиненного властно-распорядительными полномочиями, то есть имеет право приема на работу и увольнения подчиненного или в пределах должностных полномочий вправе отдавать ему приказы, распоряжения и указания, обязательные для исполнения, поощрять и применять дисциплинарные взыскания.</w:t>
      </w:r>
      <w:proofErr w:type="gramEnd"/>
    </w:p>
    <w:p w:rsidR="00C0637F" w:rsidRPr="005E7D35" w:rsidRDefault="00C0637F" w:rsidP="00C0637F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7D35">
        <w:rPr>
          <w:rFonts w:ascii="Times New Roman" w:hAnsi="Times New Roman" w:cs="Times New Roman"/>
          <w:sz w:val="20"/>
          <w:szCs w:val="20"/>
        </w:rPr>
        <w:t>При подготовке разъяснений использованы материалы брошюры «Актуальные вопросы и ответы. Выборы и избирательное право». Совместный проект Общественной палаты Самарской области и прокуратуры Самарской области. Руководитель проекта Полянский В.В.</w:t>
      </w:r>
    </w:p>
    <w:p w:rsidR="00C0637F" w:rsidRPr="005E7D35" w:rsidRDefault="00C0637F" w:rsidP="00C0637F">
      <w:pPr>
        <w:pStyle w:val="a3"/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</w:p>
    <w:p w:rsidR="00C0637F" w:rsidRPr="005E7D35" w:rsidRDefault="00C0637F" w:rsidP="00C0637F">
      <w:pPr>
        <w:pStyle w:val="a3"/>
        <w:ind w:left="0" w:firstLine="709"/>
        <w:jc w:val="both"/>
        <w:rPr>
          <w:rFonts w:ascii="Times" w:hAnsi="Times" w:cs="Times"/>
          <w:b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b/>
          <w:color w:val="000000" w:themeColor="text1"/>
          <w:sz w:val="20"/>
          <w:szCs w:val="20"/>
        </w:rPr>
        <w:t>Как обеспечивается гласность в работе избирательных комиссий?</w:t>
      </w:r>
    </w:p>
    <w:p w:rsidR="00C0637F" w:rsidRPr="005E7D35" w:rsidRDefault="00C0637F" w:rsidP="00C0637F">
      <w:pPr>
        <w:pStyle w:val="a3"/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  <w:proofErr w:type="gramStart"/>
      <w:r w:rsidRPr="005E7D35">
        <w:rPr>
          <w:rFonts w:ascii="Times" w:hAnsi="Times" w:cs="Times"/>
          <w:color w:val="000000" w:themeColor="text1"/>
          <w:sz w:val="20"/>
          <w:szCs w:val="20"/>
        </w:rPr>
        <w:t>Статья 30 Федерального закона «Об основных гарантиях…» закрепляет, что на всех заседаниях избирательных комиссий, а также при подсчете голосов избирателей и осуществлении участковой, территориальной комиссиями работы со списками избирателей, с бюллетенями, открепительными удостоверениями, протоколами об итогах голосования вправе присутствовать члены вышестоящих комиссий и работники их аппаратов, кандидат, зарегистрированный данной либо вышестоящей комиссией, или его доверенное лицо, уполномоченный представитель или доверенное</w:t>
      </w:r>
      <w:proofErr w:type="gramEnd"/>
      <w:r w:rsidRPr="005E7D35">
        <w:rPr>
          <w:rFonts w:ascii="Times" w:hAnsi="Times" w:cs="Times"/>
          <w:color w:val="000000" w:themeColor="text1"/>
          <w:sz w:val="20"/>
          <w:szCs w:val="20"/>
        </w:rPr>
        <w:t xml:space="preserve"> лицо избирательного объединения, список кандидатов которого зарегистрирован данной либо вышестоящей комиссией, или кандидат из указанного списка. Для присутствия на заседаниях комиссии и при осуществлении ею работы с указанными избирательными документами указанным лицам не требуется дополнительное разрешение. В день голосования и при подсчете голосов, определении итогов и результатов выборов в избирательной комиссии могут присутствовать наблюдатели, иностранные (международные) наблюдатели</w:t>
      </w:r>
      <w:r w:rsidRPr="005E7D35">
        <w:rPr>
          <w:rStyle w:val="a6"/>
          <w:rFonts w:ascii="Times" w:hAnsi="Times" w:cs="Times"/>
          <w:color w:val="000000" w:themeColor="text1"/>
          <w:sz w:val="20"/>
          <w:szCs w:val="20"/>
        </w:rPr>
        <w:footnoteReference w:id="1"/>
      </w:r>
      <w:r w:rsidRPr="005E7D35">
        <w:rPr>
          <w:rFonts w:ascii="Times" w:hAnsi="Times" w:cs="Times"/>
          <w:color w:val="000000" w:themeColor="text1"/>
          <w:sz w:val="20"/>
          <w:szCs w:val="20"/>
        </w:rPr>
        <w:t>.</w:t>
      </w:r>
    </w:p>
    <w:p w:rsidR="00C0637F" w:rsidRPr="005E7D35" w:rsidRDefault="00C0637F" w:rsidP="00C0637F">
      <w:pPr>
        <w:pStyle w:val="a3"/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color w:val="000000" w:themeColor="text1"/>
          <w:sz w:val="20"/>
          <w:szCs w:val="20"/>
        </w:rPr>
        <w:t>Комиссия обязана обеспечить оповещение и возможность свободного доступа указанных лиц на свои заседания и в помещение, в котором проводится подсчет голосов избирателей, осуществляется работа с указанными избирательными документами.</w:t>
      </w:r>
    </w:p>
    <w:p w:rsidR="00C0637F" w:rsidRPr="005E7D35" w:rsidRDefault="00C0637F" w:rsidP="00C0637F">
      <w:pPr>
        <w:pStyle w:val="a3"/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color w:val="000000" w:themeColor="text1"/>
          <w:sz w:val="20"/>
          <w:szCs w:val="20"/>
        </w:rPr>
        <w:t>На всех заседаниях комиссии и при осуществлении ею работы с указанными документами, а также при подсчете голосов избирателей вправе присутствовать представители средств массовой информации.</w:t>
      </w:r>
    </w:p>
    <w:p w:rsidR="00C0637F" w:rsidRPr="005E7D35" w:rsidRDefault="00C0637F" w:rsidP="00C0637F">
      <w:pPr>
        <w:pStyle w:val="a3"/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color w:val="000000" w:themeColor="text1"/>
          <w:sz w:val="20"/>
          <w:szCs w:val="20"/>
        </w:rPr>
        <w:t>Кроме того, решения избирательных комиссий, непосредственно связанные с подготовкой и проведением выборов, публикуются в государственных или муниципальных периодических печатных изданиях либо доводятся до сведения избирателей иным путем, а также могут передаваться в иные средства массовой информации.</w:t>
      </w:r>
    </w:p>
    <w:p w:rsidR="00C0637F" w:rsidRPr="005E7D35" w:rsidRDefault="00C0637F" w:rsidP="00C0637F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7D35">
        <w:rPr>
          <w:rFonts w:ascii="Times New Roman" w:hAnsi="Times New Roman" w:cs="Times New Roman"/>
          <w:sz w:val="20"/>
          <w:szCs w:val="20"/>
        </w:rPr>
        <w:t>При подготовке разъяснений использованы материалы брошюры «Актуальные вопросы и ответы. Выборы и избирательное право». Совместный проект Общественной палаты Самарской области и прокуратуры Самарской области. Руководитель проекта Полянский В.В.</w:t>
      </w:r>
    </w:p>
    <w:p w:rsidR="00C0637F" w:rsidRPr="005E7D35" w:rsidRDefault="00C0637F" w:rsidP="00C0637F">
      <w:pPr>
        <w:pStyle w:val="a3"/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</w:p>
    <w:p w:rsidR="00C0637F" w:rsidRPr="005E7D35" w:rsidRDefault="00C0637F" w:rsidP="00C0637F">
      <w:pPr>
        <w:pStyle w:val="a3"/>
        <w:ind w:left="0" w:firstLine="709"/>
        <w:jc w:val="both"/>
        <w:rPr>
          <w:rFonts w:ascii="Times" w:hAnsi="Times" w:cs="Times"/>
          <w:b/>
          <w:color w:val="000000" w:themeColor="text1"/>
          <w:sz w:val="20"/>
          <w:szCs w:val="20"/>
        </w:rPr>
      </w:pPr>
    </w:p>
    <w:p w:rsidR="00C0637F" w:rsidRPr="005E7D35" w:rsidRDefault="00C0637F" w:rsidP="00C0637F">
      <w:pPr>
        <w:pStyle w:val="a3"/>
        <w:ind w:left="0" w:firstLine="709"/>
        <w:jc w:val="both"/>
        <w:rPr>
          <w:rFonts w:ascii="Times" w:hAnsi="Times" w:cs="Times"/>
          <w:b/>
          <w:color w:val="000000" w:themeColor="text1"/>
          <w:sz w:val="20"/>
          <w:szCs w:val="20"/>
        </w:rPr>
      </w:pPr>
    </w:p>
    <w:p w:rsidR="00C0637F" w:rsidRPr="005E7D35" w:rsidRDefault="00C0637F" w:rsidP="00C0637F">
      <w:pPr>
        <w:pStyle w:val="a3"/>
        <w:ind w:left="0" w:firstLine="709"/>
        <w:jc w:val="both"/>
        <w:rPr>
          <w:rFonts w:ascii="Times" w:hAnsi="Times" w:cs="Times"/>
          <w:b/>
          <w:color w:val="000000" w:themeColor="text1"/>
          <w:sz w:val="20"/>
          <w:szCs w:val="20"/>
        </w:rPr>
      </w:pPr>
    </w:p>
    <w:p w:rsidR="00C0637F" w:rsidRPr="005E7D35" w:rsidRDefault="00C0637F" w:rsidP="00C0637F">
      <w:pPr>
        <w:pStyle w:val="a3"/>
        <w:ind w:left="0" w:firstLine="709"/>
        <w:jc w:val="both"/>
        <w:rPr>
          <w:rFonts w:ascii="Times" w:hAnsi="Times" w:cs="Times"/>
          <w:b/>
          <w:color w:val="000000" w:themeColor="text1"/>
          <w:sz w:val="20"/>
          <w:szCs w:val="20"/>
        </w:rPr>
      </w:pPr>
    </w:p>
    <w:p w:rsidR="00C0637F" w:rsidRPr="005E7D35" w:rsidRDefault="00C0637F" w:rsidP="00C0637F">
      <w:pPr>
        <w:pStyle w:val="a3"/>
        <w:ind w:left="0" w:firstLine="709"/>
        <w:jc w:val="both"/>
        <w:rPr>
          <w:rFonts w:ascii="Times" w:hAnsi="Times" w:cs="Times"/>
          <w:b/>
          <w:color w:val="000000" w:themeColor="text1"/>
          <w:sz w:val="20"/>
          <w:szCs w:val="20"/>
        </w:rPr>
      </w:pPr>
    </w:p>
    <w:p w:rsidR="00C0637F" w:rsidRPr="005E7D35" w:rsidRDefault="00C0637F" w:rsidP="00C0637F">
      <w:pPr>
        <w:pStyle w:val="a3"/>
        <w:ind w:left="0" w:firstLine="709"/>
        <w:jc w:val="both"/>
        <w:rPr>
          <w:rFonts w:ascii="Times" w:hAnsi="Times" w:cs="Times"/>
          <w:b/>
          <w:color w:val="000000" w:themeColor="text1"/>
          <w:sz w:val="20"/>
          <w:szCs w:val="20"/>
        </w:rPr>
      </w:pPr>
    </w:p>
    <w:p w:rsidR="00C0637F" w:rsidRPr="005E7D35" w:rsidRDefault="00C0637F" w:rsidP="00C0637F">
      <w:pPr>
        <w:pStyle w:val="a3"/>
        <w:ind w:left="0" w:firstLine="709"/>
        <w:jc w:val="both"/>
        <w:rPr>
          <w:rFonts w:ascii="Times" w:hAnsi="Times" w:cs="Times"/>
          <w:b/>
          <w:color w:val="000000" w:themeColor="text1"/>
          <w:sz w:val="20"/>
          <w:szCs w:val="20"/>
        </w:rPr>
      </w:pPr>
    </w:p>
    <w:p w:rsidR="00C0637F" w:rsidRPr="005E7D35" w:rsidRDefault="00C0637F" w:rsidP="00C0637F">
      <w:pPr>
        <w:pStyle w:val="a3"/>
        <w:ind w:left="0" w:firstLine="709"/>
        <w:jc w:val="both"/>
        <w:rPr>
          <w:rFonts w:ascii="Times" w:hAnsi="Times" w:cs="Times"/>
          <w:b/>
          <w:color w:val="000000" w:themeColor="text1"/>
          <w:sz w:val="20"/>
          <w:szCs w:val="20"/>
        </w:rPr>
      </w:pPr>
    </w:p>
    <w:p w:rsidR="00C0637F" w:rsidRPr="005E7D35" w:rsidRDefault="00C0637F" w:rsidP="00C0637F">
      <w:pPr>
        <w:pStyle w:val="a3"/>
        <w:ind w:left="0" w:firstLine="709"/>
        <w:jc w:val="both"/>
        <w:rPr>
          <w:rFonts w:ascii="Times" w:hAnsi="Times" w:cs="Times"/>
          <w:b/>
          <w:color w:val="000000" w:themeColor="text1"/>
          <w:sz w:val="20"/>
          <w:szCs w:val="20"/>
        </w:rPr>
      </w:pPr>
    </w:p>
    <w:p w:rsidR="00C0637F" w:rsidRPr="005E7D35" w:rsidRDefault="00C0637F" w:rsidP="00C0637F">
      <w:pPr>
        <w:pStyle w:val="a3"/>
        <w:ind w:left="0" w:firstLine="709"/>
        <w:jc w:val="both"/>
        <w:rPr>
          <w:rFonts w:ascii="Times" w:hAnsi="Times" w:cs="Times"/>
          <w:b/>
          <w:color w:val="000000" w:themeColor="text1"/>
          <w:sz w:val="20"/>
          <w:szCs w:val="20"/>
        </w:rPr>
      </w:pPr>
    </w:p>
    <w:p w:rsidR="00C0637F" w:rsidRPr="005E7D35" w:rsidRDefault="00C0637F" w:rsidP="00C0637F">
      <w:pPr>
        <w:pStyle w:val="a3"/>
        <w:ind w:left="0" w:firstLine="709"/>
        <w:jc w:val="both"/>
        <w:rPr>
          <w:rFonts w:ascii="Times" w:hAnsi="Times" w:cs="Times"/>
          <w:b/>
          <w:color w:val="000000" w:themeColor="text1"/>
          <w:sz w:val="20"/>
          <w:szCs w:val="20"/>
        </w:rPr>
      </w:pPr>
    </w:p>
    <w:p w:rsidR="00C0637F" w:rsidRPr="005E7D35" w:rsidRDefault="00C0637F" w:rsidP="00C0637F">
      <w:pPr>
        <w:pStyle w:val="a3"/>
        <w:ind w:left="0" w:firstLine="709"/>
        <w:jc w:val="both"/>
        <w:rPr>
          <w:rFonts w:ascii="Times" w:hAnsi="Times" w:cs="Times"/>
          <w:b/>
          <w:color w:val="000000" w:themeColor="text1"/>
          <w:sz w:val="20"/>
          <w:szCs w:val="20"/>
        </w:rPr>
      </w:pPr>
    </w:p>
    <w:p w:rsidR="00C0637F" w:rsidRPr="005E7D35" w:rsidRDefault="00C0637F" w:rsidP="00C0637F">
      <w:pPr>
        <w:pStyle w:val="a3"/>
        <w:ind w:left="0" w:firstLine="709"/>
        <w:jc w:val="both"/>
        <w:rPr>
          <w:rFonts w:ascii="Times" w:hAnsi="Times" w:cs="Times"/>
          <w:b/>
          <w:color w:val="000000" w:themeColor="text1"/>
          <w:sz w:val="20"/>
          <w:szCs w:val="20"/>
        </w:rPr>
      </w:pPr>
    </w:p>
    <w:p w:rsidR="00C0637F" w:rsidRPr="005E7D35" w:rsidRDefault="00C0637F" w:rsidP="00C0637F">
      <w:pPr>
        <w:pStyle w:val="a3"/>
        <w:ind w:left="0" w:firstLine="709"/>
        <w:jc w:val="both"/>
        <w:rPr>
          <w:rFonts w:ascii="Times" w:hAnsi="Times" w:cs="Times"/>
          <w:b/>
          <w:color w:val="000000" w:themeColor="text1"/>
          <w:sz w:val="20"/>
          <w:szCs w:val="20"/>
        </w:rPr>
      </w:pPr>
    </w:p>
    <w:p w:rsidR="00C0637F" w:rsidRPr="005E7D35" w:rsidRDefault="00C0637F" w:rsidP="00C0637F">
      <w:pPr>
        <w:pStyle w:val="a3"/>
        <w:ind w:left="0" w:firstLine="709"/>
        <w:jc w:val="both"/>
        <w:rPr>
          <w:rFonts w:ascii="Times" w:hAnsi="Times" w:cs="Times"/>
          <w:b/>
          <w:color w:val="000000" w:themeColor="text1"/>
          <w:sz w:val="20"/>
          <w:szCs w:val="20"/>
        </w:rPr>
      </w:pPr>
    </w:p>
    <w:p w:rsidR="00C0637F" w:rsidRPr="005E7D35" w:rsidRDefault="00C0637F" w:rsidP="00C0637F">
      <w:pPr>
        <w:pStyle w:val="a3"/>
        <w:ind w:left="0" w:firstLine="709"/>
        <w:jc w:val="both"/>
        <w:rPr>
          <w:rFonts w:ascii="Times" w:hAnsi="Times" w:cs="Times"/>
          <w:b/>
          <w:color w:val="000000" w:themeColor="text1"/>
          <w:sz w:val="20"/>
          <w:szCs w:val="20"/>
        </w:rPr>
      </w:pPr>
    </w:p>
    <w:p w:rsidR="00C0637F" w:rsidRPr="005E7D35" w:rsidRDefault="00C0637F" w:rsidP="00C0637F">
      <w:pPr>
        <w:pStyle w:val="a3"/>
        <w:ind w:left="0" w:firstLine="709"/>
        <w:jc w:val="both"/>
        <w:rPr>
          <w:rFonts w:ascii="Times" w:hAnsi="Times" w:cs="Times"/>
          <w:b/>
          <w:color w:val="000000" w:themeColor="text1"/>
          <w:sz w:val="20"/>
          <w:szCs w:val="20"/>
        </w:rPr>
      </w:pPr>
    </w:p>
    <w:p w:rsidR="00AE7C31" w:rsidRDefault="00AE7C31">
      <w:bookmarkStart w:id="0" w:name="_GoBack"/>
      <w:bookmarkEnd w:id="0"/>
    </w:p>
    <w:sectPr w:rsidR="00AE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28C" w:rsidRDefault="0099228C" w:rsidP="00C0637F">
      <w:r>
        <w:separator/>
      </w:r>
    </w:p>
  </w:endnote>
  <w:endnote w:type="continuationSeparator" w:id="0">
    <w:p w:rsidR="0099228C" w:rsidRDefault="0099228C" w:rsidP="00C0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28C" w:rsidRDefault="0099228C" w:rsidP="00C0637F">
      <w:r>
        <w:separator/>
      </w:r>
    </w:p>
  </w:footnote>
  <w:footnote w:type="continuationSeparator" w:id="0">
    <w:p w:rsidR="0099228C" w:rsidRDefault="0099228C" w:rsidP="00C0637F">
      <w:r>
        <w:continuationSeparator/>
      </w:r>
    </w:p>
  </w:footnote>
  <w:footnote w:id="1">
    <w:p w:rsidR="00C0637F" w:rsidRPr="00983FFF" w:rsidRDefault="00C0637F" w:rsidP="00C0637F">
      <w:pPr>
        <w:pStyle w:val="a4"/>
        <w:ind w:firstLine="567"/>
        <w:rPr>
          <w:rFonts w:ascii="Times New Roman" w:hAnsi="Times New Roman" w:cs="Times New Roman"/>
        </w:rPr>
      </w:pPr>
      <w:r w:rsidRPr="00983FFF">
        <w:rPr>
          <w:rStyle w:val="a6"/>
          <w:rFonts w:ascii="Times New Roman" w:hAnsi="Times New Roman" w:cs="Times New Roman"/>
        </w:rPr>
        <w:footnoteRef/>
      </w:r>
      <w:r w:rsidRPr="00983FFF">
        <w:rPr>
          <w:rFonts w:ascii="Times New Roman" w:hAnsi="Times New Roman" w:cs="Times New Roman"/>
        </w:rPr>
        <w:t xml:space="preserve"> Подробнее о статусе наблюдателей </w:t>
      </w:r>
      <w:proofErr w:type="gramStart"/>
      <w:r w:rsidRPr="00983FFF">
        <w:rPr>
          <w:rFonts w:ascii="Times New Roman" w:hAnsi="Times New Roman" w:cs="Times New Roman"/>
        </w:rPr>
        <w:t>см</w:t>
      </w:r>
      <w:proofErr w:type="gramEnd"/>
      <w:r w:rsidRPr="00983FFF">
        <w:rPr>
          <w:rFonts w:ascii="Times New Roman" w:hAnsi="Times New Roman" w:cs="Times New Roman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50DC8"/>
    <w:multiLevelType w:val="hybridMultilevel"/>
    <w:tmpl w:val="D9ECC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18"/>
    <w:rsid w:val="00374318"/>
    <w:rsid w:val="0099228C"/>
    <w:rsid w:val="00AE7C31"/>
    <w:rsid w:val="00C0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7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37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0637F"/>
  </w:style>
  <w:style w:type="character" w:customStyle="1" w:styleId="a5">
    <w:name w:val="Текст сноски Знак"/>
    <w:basedOn w:val="a0"/>
    <w:link w:val="a4"/>
    <w:uiPriority w:val="99"/>
    <w:rsid w:val="00C0637F"/>
    <w:rPr>
      <w:rFonts w:eastAsiaTheme="minorEastAsia"/>
      <w:sz w:val="24"/>
      <w:szCs w:val="24"/>
      <w:lang w:eastAsia="ru-RU"/>
    </w:rPr>
  </w:style>
  <w:style w:type="character" w:styleId="a6">
    <w:name w:val="footnote reference"/>
    <w:basedOn w:val="a0"/>
    <w:uiPriority w:val="99"/>
    <w:unhideWhenUsed/>
    <w:rsid w:val="00C063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7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37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0637F"/>
  </w:style>
  <w:style w:type="character" w:customStyle="1" w:styleId="a5">
    <w:name w:val="Текст сноски Знак"/>
    <w:basedOn w:val="a0"/>
    <w:link w:val="a4"/>
    <w:uiPriority w:val="99"/>
    <w:rsid w:val="00C0637F"/>
    <w:rPr>
      <w:rFonts w:eastAsiaTheme="minorEastAsia"/>
      <w:sz w:val="24"/>
      <w:szCs w:val="24"/>
      <w:lang w:eastAsia="ru-RU"/>
    </w:rPr>
  </w:style>
  <w:style w:type="character" w:styleId="a6">
    <w:name w:val="footnote reference"/>
    <w:basedOn w:val="a0"/>
    <w:uiPriority w:val="99"/>
    <w:unhideWhenUsed/>
    <w:rsid w:val="00C063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Малый Толкай</dc:creator>
  <cp:keywords/>
  <dc:description/>
  <cp:lastModifiedBy>СП Малый Толкай</cp:lastModifiedBy>
  <cp:revision>2</cp:revision>
  <dcterms:created xsi:type="dcterms:W3CDTF">2016-09-06T06:33:00Z</dcterms:created>
  <dcterms:modified xsi:type="dcterms:W3CDTF">2016-09-06T06:33:00Z</dcterms:modified>
</cp:coreProperties>
</file>