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296557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EF5CF4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07.08</w:t>
            </w:r>
            <w:r w:rsidR="00F5343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</w:t>
            </w:r>
            <w:r w:rsidR="00F467F2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2020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EF5CF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 w:rsidR="00F53438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4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9A07D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 w:rsidR="00EF5CF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8</w:t>
            </w:r>
            <w:bookmarkStart w:id="0" w:name="_GoBack"/>
            <w:bookmarkEnd w:id="0"/>
            <w:r w:rsidR="00F53438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6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BB3AAC" w:rsidRPr="00BB3AAC" w:rsidRDefault="00BB3AAC" w:rsidP="00BB3AAC">
      <w:pPr>
        <w:widowControl w:val="0"/>
        <w:tabs>
          <w:tab w:val="left" w:pos="673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B3AAC">
        <w:rPr>
          <w:rFonts w:ascii="Times New Roman" w:eastAsia="Times New Roman" w:hAnsi="Times New Roman" w:cs="Times New Roman"/>
          <w:sz w:val="20"/>
          <w:szCs w:val="20"/>
          <w:lang w:eastAsia="zh-CN"/>
        </w:rPr>
        <w:t>РОССИЙСКАЯ ФЕДЕРАЦИЯ</w:t>
      </w:r>
    </w:p>
    <w:p w:rsidR="00BB3AAC" w:rsidRPr="00BB3AAC" w:rsidRDefault="00BB3AAC" w:rsidP="00BB3A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B3AA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АДМИНИСТРАЦИЯ</w:t>
      </w:r>
    </w:p>
    <w:p w:rsidR="00BB3AAC" w:rsidRPr="00BB3AAC" w:rsidRDefault="00BB3AAC" w:rsidP="00BB3AAC">
      <w:pPr>
        <w:widowControl w:val="0"/>
        <w:tabs>
          <w:tab w:val="left" w:pos="661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B3AA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сельского поселения</w:t>
      </w:r>
    </w:p>
    <w:p w:rsidR="00BB3AAC" w:rsidRPr="00BB3AAC" w:rsidRDefault="00BB3AAC" w:rsidP="00BB3A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B3AA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МАЛЫЙ ТОЛКАЙ</w:t>
      </w:r>
    </w:p>
    <w:p w:rsidR="00BB3AAC" w:rsidRPr="00BB3AAC" w:rsidRDefault="00BB3AAC" w:rsidP="00BB3A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B3AA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муниципального района</w:t>
      </w:r>
    </w:p>
    <w:p w:rsidR="00BB3AAC" w:rsidRPr="00BB3AAC" w:rsidRDefault="00BB3AAC" w:rsidP="00BB3A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B3AA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Похвистневский</w:t>
      </w:r>
    </w:p>
    <w:p w:rsidR="00BB3AAC" w:rsidRPr="00BB3AAC" w:rsidRDefault="00BB3AAC" w:rsidP="00BB3A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B3AA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Самарской области</w:t>
      </w:r>
    </w:p>
    <w:p w:rsidR="00BB3AAC" w:rsidRPr="00BB3AAC" w:rsidRDefault="00BB3AAC" w:rsidP="00BB3A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B3AA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ПОСТАНОВЛЕНИЕ</w:t>
      </w:r>
    </w:p>
    <w:p w:rsidR="00BB3AAC" w:rsidRPr="00BB3AAC" w:rsidRDefault="00BB3AAC" w:rsidP="00BB3A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B3AAC" w:rsidRPr="00BB3AAC" w:rsidRDefault="00BB3AAC" w:rsidP="00BB3A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16"/>
          <w:sz w:val="20"/>
          <w:szCs w:val="20"/>
          <w:lang w:eastAsia="ru-RU"/>
        </w:rPr>
      </w:pPr>
      <w:r w:rsidRPr="00BB3AA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  <w:r w:rsidRPr="00BB3AAC">
        <w:rPr>
          <w:rFonts w:ascii="Times New Roman" w:eastAsia="Times New Roman" w:hAnsi="Times New Roman" w:cs="Times New Roman"/>
          <w:bCs/>
          <w:kern w:val="16"/>
          <w:sz w:val="20"/>
          <w:szCs w:val="20"/>
          <w:lang w:eastAsia="ru-RU"/>
        </w:rPr>
        <w:t>03.08.2020 г. № 65</w:t>
      </w:r>
    </w:p>
    <w:p w:rsidR="00BB3AAC" w:rsidRPr="00BB3AAC" w:rsidRDefault="00BB3AAC" w:rsidP="00BB3A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B3AAC" w:rsidRPr="00BB3AAC" w:rsidRDefault="00BB3AAC" w:rsidP="00BB3A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ar-SA"/>
        </w:rPr>
        <w:t>О проведении публичных слушаний</w:t>
      </w:r>
      <w:r w:rsidRPr="00BB3A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BB3AAC" w:rsidRPr="00BB3AAC" w:rsidRDefault="00BB3AAC" w:rsidP="00BB3AAC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ar-SA"/>
        </w:rPr>
        <w:t xml:space="preserve">по проекту </w:t>
      </w: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изменений в Генеральный план </w:t>
      </w:r>
    </w:p>
    <w:p w:rsidR="00BB3AAC" w:rsidRPr="00BB3AAC" w:rsidRDefault="00BB3AAC" w:rsidP="00BB3AAC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</w:t>
      </w:r>
    </w:p>
    <w:p w:rsidR="00BB3AAC" w:rsidRPr="00BB3AAC" w:rsidRDefault="00BB3AAC" w:rsidP="00BB3AAC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муниципального района Похвистневский </w:t>
      </w:r>
    </w:p>
    <w:p w:rsidR="00BB3AAC" w:rsidRPr="00BB3AAC" w:rsidRDefault="00BB3AAC" w:rsidP="00BB3AAC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Самарской области</w:t>
      </w:r>
    </w:p>
    <w:p w:rsidR="00BB3AAC" w:rsidRPr="00BB3AAC" w:rsidRDefault="00BB3AAC" w:rsidP="00BB3AAC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BB3AAC" w:rsidRPr="00BB3AAC" w:rsidRDefault="00BB3AAC" w:rsidP="00BB3A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BB3AAC" w:rsidRPr="00BB3AAC" w:rsidRDefault="00BB3AAC" w:rsidP="00BB3A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Малый</w:t>
      </w:r>
      <w:proofErr w:type="gramStart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олкай  муниципального района Похвистневский  Самарской области, Порядком организации и проведения общественных или публичных слушаний по вопросам градостроительной деятельности на территории сельского поселения Малый</w:t>
      </w:r>
      <w:proofErr w:type="gramStart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олкай  муниципального района Похвистневский Самарской области от 27.11.2019 года  № 130  Постановляю:</w:t>
      </w:r>
    </w:p>
    <w:p w:rsidR="00BB3AAC" w:rsidRPr="00BB3AAC" w:rsidRDefault="00BB3AAC" w:rsidP="00BB3A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1. Провести на территории сельского поселения Малый</w:t>
      </w:r>
      <w:proofErr w:type="gramStart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 публичные слушания по </w:t>
      </w:r>
      <w:r w:rsidRPr="00BB3AAC">
        <w:rPr>
          <w:rFonts w:ascii="Times New Roman" w:eastAsia="MS Mincho" w:hAnsi="Times New Roman" w:cs="Times New Roman"/>
          <w:sz w:val="20"/>
          <w:szCs w:val="20"/>
          <w:lang w:eastAsia="ar-SA"/>
        </w:rPr>
        <w:t xml:space="preserve">проекту решения Собрания представителей сельского поселения Малый Толкай муниципального района </w:t>
      </w: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Похвистневский </w:t>
      </w:r>
      <w:r w:rsidRPr="00BB3AAC">
        <w:rPr>
          <w:rFonts w:ascii="Times New Roman" w:eastAsia="MS Mincho" w:hAnsi="Times New Roman" w:cs="Times New Roman"/>
          <w:sz w:val="20"/>
          <w:szCs w:val="20"/>
          <w:lang w:eastAsia="ar-SA"/>
        </w:rPr>
        <w:t xml:space="preserve"> Самарской области «</w:t>
      </w: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О внесении изменений в Генеральный план сельского поселения Малый Толкай  муниципального района Похвистневский  Самарской области</w:t>
      </w:r>
      <w:r w:rsidRPr="00BB3AAC">
        <w:rPr>
          <w:rFonts w:ascii="Times New Roman" w:eastAsia="MS Mincho" w:hAnsi="Times New Roman" w:cs="Times New Roman"/>
          <w:sz w:val="20"/>
          <w:szCs w:val="20"/>
          <w:lang w:eastAsia="ar-SA"/>
        </w:rPr>
        <w:t>»</w:t>
      </w: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(далее – проект). Информационные материалы к проекту состоят из проекта Решения Собрания представителей сельского поселения Малый</w:t>
      </w:r>
      <w:proofErr w:type="gramStart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«О внесении изменений в Генеральный план сельского поселения Малый Толкай  муниципального района Похвистневский Самарской области» с приложениями.</w:t>
      </w:r>
    </w:p>
    <w:p w:rsidR="00BB3AAC" w:rsidRPr="00BB3AAC" w:rsidRDefault="00BB3AAC" w:rsidP="00BB3A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2. Срок проведения публичных слушаний по проекту - с 07 августа 2020 года по 10 сентября  2020 года.</w:t>
      </w:r>
    </w:p>
    <w:p w:rsidR="00BB3AAC" w:rsidRPr="00BB3AAC" w:rsidRDefault="00BB3AAC" w:rsidP="00BB3A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BB3AAC" w:rsidRPr="00BB3AAC" w:rsidRDefault="00BB3AAC" w:rsidP="00BB3A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Малый</w:t>
      </w:r>
      <w:proofErr w:type="gramStart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 (далее – Администрация поселения). Публичные слушания проводятся в соответствии с </w:t>
      </w: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begin"/>
      </w: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instrText xml:space="preserve"> MERGEFIELD Полное_наименование_Порядка_проведения_ </w:instrText>
      </w: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separate"/>
      </w: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Порядком организации и проведения публичных слушаний по вопросам градостроительной деятельности в сельском поселении Малый Толкай муниципального района Похвистневский  Самарской области</w:t>
      </w: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end"/>
      </w: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, утвержденным решением Собрания представителей сельского поселения Малый Толкай  муниципального района Похвистневский  Самарской области от 27.11.2019 года   № 130</w:t>
      </w:r>
    </w:p>
    <w:p w:rsidR="00BB3AAC" w:rsidRPr="00BB3AAC" w:rsidRDefault="00BB3AAC" w:rsidP="00BB3A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5. Представление участниками публичных слушаний предложений и замечаний по проекту, а также их учет осуществляется в соответствии с </w:t>
      </w: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begin"/>
      </w: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instrText xml:space="preserve"> MERGEFIELD Полное_наименование_Порядка_проведения_ </w:instrText>
      </w: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separate"/>
      </w: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Порядком организации и проведения публичных слушаний по вопросам градостроительной деятельности в сельском поселении Малый Толкай муниципального района Похвистневский Самарской области</w:t>
      </w: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end"/>
      </w: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, утвержденным решением Собрания представителей сельского поселения Малый Толкай муниципального района Похвистневский Самарской области от  27.11.2019 года № 130</w:t>
      </w:r>
    </w:p>
    <w:p w:rsidR="00BB3AAC" w:rsidRPr="00BB3AAC" w:rsidRDefault="00BB3AAC" w:rsidP="00BB3A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6. Место проведения публичных слушаний (место проведения экспозиции проекта) в сельском поселении Малый</w:t>
      </w:r>
      <w:proofErr w:type="gramStart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области: 446468,Самарская область, Похвистневский район, село Малый Толкай, ул.Молодежная, д.2.</w:t>
      </w:r>
    </w:p>
    <w:p w:rsidR="00BB3AAC" w:rsidRPr="00BB3AAC" w:rsidRDefault="00BB3AAC" w:rsidP="00BB3A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7. Датой открытия экспозиции считается дата опубликования проекта и его размещения на официальном сайте Администрации в </w:t>
      </w:r>
      <w:r w:rsidRPr="00BB3AAC">
        <w:rPr>
          <w:rFonts w:ascii="Times New Roman" w:eastAsia="MS Mincho" w:hAnsi="Times New Roman" w:cs="Times New Roman"/>
          <w:spacing w:val="-1"/>
          <w:sz w:val="20"/>
          <w:szCs w:val="20"/>
          <w:lang w:eastAsia="ru-RU"/>
        </w:rPr>
        <w:t xml:space="preserve">сети «Интернет» </w:t>
      </w: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10.00 до 17.00. </w:t>
      </w:r>
    </w:p>
    <w:p w:rsidR="00BB3AAC" w:rsidRPr="00BB3AAC" w:rsidRDefault="00BB3AAC" w:rsidP="00BB3A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8. Собрания участников публичных слушаний по проекту состоятся в </w:t>
      </w:r>
      <w:r w:rsidRPr="00BB3AAC">
        <w:rPr>
          <w:rFonts w:ascii="Times New Roman" w:eastAsia="MS Mincho" w:hAnsi="Times New Roman" w:cs="Times New Roman"/>
          <w:sz w:val="20"/>
          <w:szCs w:val="20"/>
          <w:u w:val="single"/>
          <w:lang w:eastAsia="ru-RU"/>
        </w:rPr>
        <w:t>каждом населенном пункте</w:t>
      </w: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сельского поселения Малый</w:t>
      </w:r>
      <w:proofErr w:type="gramStart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 по адресам: </w:t>
      </w:r>
    </w:p>
    <w:p w:rsidR="00BB3AAC" w:rsidRPr="00BB3AAC" w:rsidRDefault="00BB3AAC" w:rsidP="00BB3A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в селе Малый</w:t>
      </w:r>
      <w:proofErr w:type="gramStart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олкай – 21.08.2020 в 10.00 часов по адресу: Самарская область, Похвистневский район, село Малый</w:t>
      </w:r>
      <w:proofErr w:type="gramStart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олкай, ул. Молодёжная, д 2б.;</w:t>
      </w:r>
    </w:p>
    <w:p w:rsidR="00BB3AAC" w:rsidRPr="00BB3AAC" w:rsidRDefault="00BB3AAC" w:rsidP="00BB3A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в поселке Камышевка – 21.08.2020 в 12.00 часов по адресу: Самарская область, Похвистневский район, поселок Камышевка, ул.Ленина, д.40А;</w:t>
      </w:r>
    </w:p>
    <w:p w:rsidR="00BB3AAC" w:rsidRPr="00BB3AAC" w:rsidRDefault="00BB3AAC" w:rsidP="00BB3AAC">
      <w:pPr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в поселке Передовка  – 21.08.2020 в 14.00 часов по адресу: Самарская область, Похвистневский район, поселок Передовка, ул. Юбилейная, д.2а;</w:t>
      </w:r>
    </w:p>
    <w:p w:rsidR="00BB3AAC" w:rsidRPr="00BB3AAC" w:rsidRDefault="00BB3AAC" w:rsidP="00BB3A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на железнодорожном разъезде Тунгуз 21.08.2020 в 16.00 часов по адресу: Самарская область, Похвистневский район, железнодорожный разъезд Тунгуз, ул. Лесная, д.1.</w:t>
      </w:r>
    </w:p>
    <w:p w:rsidR="00BB3AAC" w:rsidRPr="00BB3AAC" w:rsidRDefault="00BB3AAC" w:rsidP="00BB3A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а также по адресам, указанным в пункте 8 в ходе проведения собраний участников публичных слушаний. </w:t>
      </w:r>
    </w:p>
    <w:p w:rsidR="00BB3AAC" w:rsidRPr="00BB3AAC" w:rsidRDefault="00BB3AAC" w:rsidP="00BB3A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9. Замечания и предложения могут быть внесены: </w:t>
      </w:r>
    </w:p>
    <w:p w:rsidR="00BB3AAC" w:rsidRPr="00BB3AAC" w:rsidRDefault="00BB3AAC" w:rsidP="00BB3A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1) в письменной или устной форме в ходе проведения собраний участников публичных слушаний; </w:t>
      </w:r>
    </w:p>
    <w:p w:rsidR="00BB3AAC" w:rsidRPr="00BB3AAC" w:rsidRDefault="00BB3AAC" w:rsidP="00BB3A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 xml:space="preserve">2) в письменной форме в адрес организатора публичных слушаний; </w:t>
      </w:r>
    </w:p>
    <w:p w:rsidR="00BB3AAC" w:rsidRPr="00BB3AAC" w:rsidRDefault="00BB3AAC" w:rsidP="00BB3A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B3AAC" w:rsidRPr="00BB3AAC" w:rsidRDefault="00BB3AAC" w:rsidP="00BB3A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10. </w:t>
      </w:r>
      <w:r w:rsidRPr="00BB3AAC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Прием замечаний и предложений от жителей поселения и иных заинтересованных лиц по проекту генерального плана прекращается 07 сентября 2020 года.</w:t>
      </w:r>
    </w:p>
    <w:p w:rsidR="00BB3AAC" w:rsidRPr="00BB3AAC" w:rsidRDefault="00BB3AAC" w:rsidP="00BB3A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11. Назначить лицом, ответственным за ведение протокола публичных слушаний по проекту</w:t>
      </w:r>
      <w:r w:rsidRPr="00BB3AAC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 xml:space="preserve"> заместителя Главы поселения Малый Толкай Ю.С. Ефремову.</w:t>
      </w:r>
    </w:p>
    <w:p w:rsidR="00BB3AAC" w:rsidRPr="00BB3AAC" w:rsidRDefault="00BB3AAC" w:rsidP="00BB3A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 xml:space="preserve">12. </w:t>
      </w: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Назначить лицом, ответственным за ведение протоколов собраний участников публичных слушаний по проекту Главу сельского поселения И.Т. </w:t>
      </w:r>
      <w:proofErr w:type="spellStart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Дерюжову</w:t>
      </w:r>
      <w:proofErr w:type="spellEnd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</w:p>
    <w:p w:rsidR="00BB3AAC" w:rsidRPr="00BB3AAC" w:rsidRDefault="00BB3AAC" w:rsidP="00BB3AAC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13.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BB3AAC" w:rsidRPr="00BB3AAC" w:rsidRDefault="00BB3AAC" w:rsidP="00BB3AAC">
      <w:pPr>
        <w:numPr>
          <w:ilvl w:val="0"/>
          <w:numId w:val="33"/>
        </w:numPr>
        <w:tabs>
          <w:tab w:val="left" w:pos="567"/>
        </w:tabs>
        <w:spacing w:after="0"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официальное опубликование проекта в газете </w:t>
      </w:r>
      <w:r w:rsidRPr="00BB3AAC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«Вестник поселения Малый</w:t>
      </w:r>
      <w:proofErr w:type="gramStart"/>
      <w:r w:rsidRPr="00BB3AAC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BB3AAC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олкай»;</w:t>
      </w:r>
    </w:p>
    <w:p w:rsidR="00BB3AAC" w:rsidRPr="00BB3AAC" w:rsidRDefault="00BB3AAC" w:rsidP="00BB3A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размещение проекта на официальном сайте Администрации сельского поселения Малый</w:t>
      </w:r>
      <w:proofErr w:type="gramStart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 в информационно-телекоммуникационной сети «Интернет» </w:t>
      </w:r>
      <w:r w:rsidRPr="00BB3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http://maltolkay.ru/</w:t>
      </w: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;</w:t>
      </w:r>
    </w:p>
    <w:p w:rsidR="00BB3AAC" w:rsidRPr="00BB3AAC" w:rsidRDefault="00BB3AAC" w:rsidP="00BB3AA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BB3AAC" w:rsidRPr="00BB3AAC" w:rsidRDefault="00BB3AAC" w:rsidP="00BB3A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14. Настоящее постановление является оповещением о начале публичных слушаний и подлежит опубликованию в газете</w:t>
      </w:r>
      <w:r w:rsidRPr="00BB3AAC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 xml:space="preserve"> </w:t>
      </w: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«Вестник поселения Малый</w:t>
      </w:r>
      <w:proofErr w:type="gramStart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олкай» и на официальном сайте Администрации сельского поселения Малый Толкай муниципального района Похвистневский Самарской области в информационно-телекоммуникационной сети «Интернет»  </w:t>
      </w:r>
      <w:r w:rsidRPr="00BB3A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http://maltolkay.ru/</w:t>
      </w: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;</w:t>
      </w:r>
    </w:p>
    <w:p w:rsidR="00BB3AAC" w:rsidRPr="00E6362F" w:rsidRDefault="00BB3AAC" w:rsidP="00BB3AAC">
      <w:pPr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15. В случае</w:t>
      </w:r>
      <w:proofErr w:type="gramStart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>,</w:t>
      </w:r>
      <w:proofErr w:type="gramEnd"/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2"/>
      </w:tblGrid>
      <w:tr w:rsidR="00BB3AAC" w:rsidRPr="00BB3AAC" w:rsidTr="001677EC">
        <w:tc>
          <w:tcPr>
            <w:tcW w:w="4782" w:type="dxa"/>
          </w:tcPr>
          <w:p w:rsidR="00BB3AAC" w:rsidRPr="00BB3AAC" w:rsidRDefault="00BB3AAC" w:rsidP="00BB3A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6362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BB3A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Глава поселения</w:t>
            </w:r>
            <w:r w:rsidRPr="00BB3A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ab/>
              <w:t xml:space="preserve">                                                            </w:t>
            </w:r>
          </w:p>
        </w:tc>
      </w:tr>
    </w:tbl>
    <w:p w:rsidR="00BB3AAC" w:rsidRPr="00E6362F" w:rsidRDefault="00BB3AAC" w:rsidP="00BB3AAC">
      <w:pPr>
        <w:tabs>
          <w:tab w:val="left" w:pos="1222"/>
        </w:tabs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 xml:space="preserve">   И.Т. Дерюжова</w:t>
      </w:r>
    </w:p>
    <w:p w:rsidR="00BB3AAC" w:rsidRPr="00BB3AAC" w:rsidRDefault="00BB3AAC" w:rsidP="00BB3AAC">
      <w:pPr>
        <w:tabs>
          <w:tab w:val="left" w:pos="1222"/>
        </w:tabs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BB3AAC" w:rsidRPr="00E6362F" w:rsidRDefault="00BB3AAC" w:rsidP="00BB3AAC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E6362F">
        <w:rPr>
          <w:rFonts w:ascii="Times New Roman" w:eastAsia="MS Mincho" w:hAnsi="Times New Roman" w:cs="Times New Roman"/>
          <w:sz w:val="20"/>
          <w:szCs w:val="20"/>
          <w:lang w:eastAsia="ru-RU"/>
        </w:rPr>
        <w:t>**********************************************************************************</w:t>
      </w:r>
    </w:p>
    <w:p w:rsidR="00E6362F" w:rsidRPr="00E6362F" w:rsidRDefault="00E6362F" w:rsidP="00E6362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0"/>
          <w:szCs w:val="20"/>
          <w:lang w:eastAsia="ru-RU"/>
        </w:rPr>
      </w:pPr>
      <w:r w:rsidRPr="00E6362F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0"/>
          <w:szCs w:val="20"/>
          <w:lang w:eastAsia="ru-RU"/>
        </w:rPr>
        <w:t>Лето продолжается, а с ним и пожарная опасность.</w:t>
      </w:r>
    </w:p>
    <w:p w:rsidR="00E6362F" w:rsidRPr="00E6362F" w:rsidRDefault="00E6362F" w:rsidP="00E6362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0"/>
          <w:szCs w:val="20"/>
          <w:lang w:eastAsia="ru-RU"/>
        </w:rPr>
      </w:pPr>
    </w:p>
    <w:p w:rsidR="00E6362F" w:rsidRPr="00E6362F" w:rsidRDefault="00E6362F" w:rsidP="00E6362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0"/>
          <w:szCs w:val="20"/>
          <w:lang w:eastAsia="ru-RU"/>
        </w:rPr>
      </w:pPr>
      <w:r w:rsidRPr="00E6362F">
        <w:rPr>
          <w:rFonts w:ascii="Times New Roman" w:eastAsia="Times New Roman" w:hAnsi="Times New Roman" w:cs="Times New Roman"/>
          <w:b/>
          <w:bCs/>
          <w:noProof/>
          <w:color w:val="000000"/>
          <w:spacing w:val="-15"/>
          <w:kern w:val="36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6C47A532" wp14:editId="13994E8D">
            <wp:simplePos x="0" y="0"/>
            <wp:positionH relativeFrom="column">
              <wp:posOffset>148590</wp:posOffset>
            </wp:positionH>
            <wp:positionV relativeFrom="paragraph">
              <wp:posOffset>50800</wp:posOffset>
            </wp:positionV>
            <wp:extent cx="1323975" cy="992505"/>
            <wp:effectExtent l="0" t="0" r="9525" b="0"/>
            <wp:wrapTight wrapText="bothSides">
              <wp:wrapPolygon edited="0">
                <wp:start x="0" y="0"/>
                <wp:lineTo x="0" y="21144"/>
                <wp:lineTo x="21445" y="21144"/>
                <wp:lineTo x="21445" y="0"/>
                <wp:lineTo x="0" y="0"/>
              </wp:wrapPolygon>
            </wp:wrapTight>
            <wp:docPr id="1" name="Рисунок 1" descr="C:\Users\СП Малый Толкай\Desktop\n-BqyLZmS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 Малый Толкай\Desktop\n-BqyLZmSm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62F" w:rsidRPr="00E6362F" w:rsidRDefault="00E6362F" w:rsidP="00E6362F">
      <w:pPr>
        <w:shd w:val="clear" w:color="auto" w:fill="FFFFFF"/>
        <w:tabs>
          <w:tab w:val="left" w:pos="900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0"/>
          <w:szCs w:val="20"/>
          <w:lang w:eastAsia="ru-RU"/>
        </w:rPr>
      </w:pPr>
      <w:r w:rsidRPr="00E636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Лето 2020 преподнесло нам немало природных катаклизмов. Если начало было холодным, то теперь температура достигает 30-40 градусов на открытом солнце. Это не всегда благоприятно сказывается на пожарной безопасности.</w:t>
      </w:r>
    </w:p>
    <w:p w:rsidR="00E6362F" w:rsidRPr="00E6362F" w:rsidRDefault="00E6362F" w:rsidP="00E636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36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связи с этим в очередной раз напоминаем о необходимости соблюдения правил пожарной безопасности в условиях особого режима:</w:t>
      </w:r>
    </w:p>
    <w:p w:rsidR="00E6362F" w:rsidRPr="00E6362F" w:rsidRDefault="00E6362F" w:rsidP="00E636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62F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запрещается проведения пала сухой травы (стерни) и пожнивных остатков, за исключением контролируемых отжигов, осуществляемых министерством лесного хозяйства, охраны окружающей среды и природопользования Самарской области;</w:t>
      </w:r>
    </w:p>
    <w:p w:rsidR="00E6362F" w:rsidRPr="00E6362F" w:rsidRDefault="00E6362F" w:rsidP="00E6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6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при наступлении </w:t>
      </w:r>
      <w:r w:rsidRPr="00E636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E636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E636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E636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класса пожарной опасности ограничивается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E6362F" w:rsidRPr="00E6362F" w:rsidRDefault="00E6362F" w:rsidP="00E6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6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запрещается применение пиротехнических изделий и огневых эффектов в зданиях (сооружениях) и на открытых территориях;</w:t>
      </w:r>
    </w:p>
    <w:p w:rsidR="00E6362F" w:rsidRPr="00E6362F" w:rsidRDefault="00E6362F" w:rsidP="00E6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362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E636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запрещается </w:t>
      </w:r>
      <w:r w:rsidRPr="00E636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сжигания мусора, сухой растительности и отходы на территориях населенных пунктов, организаций, индивидуальных предпринимателей, приусадебных, садовых и дачных участках;</w:t>
      </w:r>
    </w:p>
    <w:p w:rsidR="00E6362F" w:rsidRPr="00E6362F" w:rsidRDefault="00E6362F" w:rsidP="00E6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6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</w:r>
    </w:p>
    <w:p w:rsidR="00E6362F" w:rsidRPr="00E6362F" w:rsidRDefault="00E6362F" w:rsidP="00E6362F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6362F">
        <w:rPr>
          <w:sz w:val="20"/>
          <w:szCs w:val="20"/>
        </w:rPr>
        <w:t xml:space="preserve"> Горожане и сельчане должны помнить, что при не соблюдении правил пожарной безопасности в этот особый период нарушители административного законодательства,  будут привлекаться к ответственности. В соответствии с Кодексом РФ об административных правонарушениях за нарушения правил пожарной безопасности частью 2 статьи 20.4 административный штраф составляет:</w:t>
      </w:r>
    </w:p>
    <w:p w:rsidR="00E6362F" w:rsidRPr="00E6362F" w:rsidRDefault="00E6362F" w:rsidP="00E636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62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от 2000 до 4000 руб.;</w:t>
      </w:r>
    </w:p>
    <w:p w:rsidR="00E6362F" w:rsidRPr="00E6362F" w:rsidRDefault="00E6362F" w:rsidP="00E636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62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должностных лиц от 15000 до 30000 руб.;</w:t>
      </w:r>
    </w:p>
    <w:p w:rsidR="00E6362F" w:rsidRPr="00E6362F" w:rsidRDefault="00E6362F" w:rsidP="00E636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62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лиц, осуществляющих предпринимательскую деятельность без образования юридического лица от 30000 до 40000 руб.;</w:t>
      </w:r>
    </w:p>
    <w:p w:rsidR="00E6362F" w:rsidRPr="00E6362F" w:rsidRDefault="00E6362F" w:rsidP="00E636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62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от 400000 до 500000 руб.</w:t>
      </w:r>
    </w:p>
    <w:p w:rsidR="00E6362F" w:rsidRPr="00E6362F" w:rsidRDefault="00E6362F" w:rsidP="00E636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6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за нарушение требований пожарной безопасности, существует и уголовная ответственность, в соответствии с уголовным кодексом Российской Федерации.</w:t>
      </w:r>
    </w:p>
    <w:p w:rsidR="00E6362F" w:rsidRPr="00E6362F" w:rsidRDefault="00E6362F" w:rsidP="00E636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636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Убедительная просьба! В случае обнаружения пожара звоните по телефону «01», «101» или по единому номеру вызова экстренных оперативных служб «112».</w:t>
      </w:r>
    </w:p>
    <w:p w:rsidR="00E6362F" w:rsidRPr="00E6362F" w:rsidRDefault="00E6362F" w:rsidP="00E636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E636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Берегите себя и природу от огня! Отдыхайте и работайте только с соблюдением правил пожарной безопасности и здравого смысла!</w:t>
      </w:r>
    </w:p>
    <w:p w:rsidR="00E6362F" w:rsidRPr="00E6362F" w:rsidRDefault="00E6362F" w:rsidP="00E636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6362F" w:rsidRPr="00E6362F" w:rsidRDefault="00E6362F" w:rsidP="00E636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E636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Инструктор противопожарной профилактики ПСО №35 Кожевникова Н.И. </w:t>
      </w:r>
    </w:p>
    <w:p w:rsidR="00E6362F" w:rsidRPr="00E6362F" w:rsidRDefault="00E6362F" w:rsidP="00E636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E636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Старший инспектор ОНД и ПР по </w:t>
      </w:r>
      <w:proofErr w:type="spellStart"/>
      <w:r w:rsidRPr="00E636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г.о</w:t>
      </w:r>
      <w:proofErr w:type="gramStart"/>
      <w:r w:rsidRPr="00E636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E636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охвистнево</w:t>
      </w:r>
      <w:proofErr w:type="spellEnd"/>
      <w:r w:rsidRPr="00E636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E636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м.р.Похвистневский</w:t>
      </w:r>
      <w:proofErr w:type="spellEnd"/>
      <w:r w:rsidRPr="00E636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 </w:t>
      </w:r>
      <w:proofErr w:type="spellStart"/>
      <w:r w:rsidRPr="00E636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Камышлинский</w:t>
      </w:r>
      <w:proofErr w:type="spellEnd"/>
      <w:r w:rsidRPr="00E636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УНД и ПР ГУ МЧС России по Самарской области капитан внутренней службы Сафиуллин А.С.</w:t>
      </w:r>
    </w:p>
    <w:p w:rsidR="00E6362F" w:rsidRPr="00E6362F" w:rsidRDefault="00E6362F" w:rsidP="00E636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E636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**********************************************************************************</w:t>
      </w:r>
    </w:p>
    <w:p w:rsidR="00E6362F" w:rsidRPr="00E6362F" w:rsidRDefault="00E6362F" w:rsidP="00E636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6362F" w:rsidRPr="00E6362F" w:rsidRDefault="00E6362F" w:rsidP="00E636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6362F" w:rsidRPr="00E6362F" w:rsidRDefault="00E6362F" w:rsidP="00E636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6362F" w:rsidRPr="00E6362F" w:rsidRDefault="00E6362F" w:rsidP="00E636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6362F" w:rsidRPr="00E6362F" w:rsidRDefault="00E6362F" w:rsidP="00E636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BB3AAC" w:rsidRPr="00BB3AAC" w:rsidRDefault="00BB3AAC" w:rsidP="00BB3AAC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B3AAC">
        <w:rPr>
          <w:rFonts w:ascii="Times New Roman" w:eastAsia="MS Mincho" w:hAnsi="Times New Roman" w:cs="Times New Roman"/>
          <w:sz w:val="20"/>
          <w:szCs w:val="20"/>
          <w:lang w:eastAsia="ru-RU"/>
        </w:rPr>
        <w:br w:type="textWrapping" w:clear="all"/>
        <w:t xml:space="preserve">   </w:t>
      </w:r>
    </w:p>
    <w:p w:rsidR="00DA60F8" w:rsidRPr="00E6362F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E6362F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E6362F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E6362F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E6362F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E6362F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E6362F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E6362F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E6362F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E6362F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E6362F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E6362F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E6362F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E6362F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E6362F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291" w:rsidRDefault="00F8029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291" w:rsidRDefault="00F8029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291" w:rsidRDefault="00F8029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291" w:rsidRDefault="00F8029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291" w:rsidRDefault="00F8029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291" w:rsidRPr="00E6362F" w:rsidRDefault="00F8029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1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DA60F8" w:rsidRPr="00E6362F" w:rsidTr="00154FD5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E6362F" w:rsidRDefault="00DA60F8" w:rsidP="00154FD5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E6362F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E6362F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6362F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DA60F8" w:rsidRPr="00E6362F" w:rsidRDefault="00DA60F8" w:rsidP="00154FD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E6362F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E6362F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6362F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DA60F8" w:rsidRPr="00E6362F" w:rsidTr="00154FD5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F80291" w:rsidRDefault="00DA60F8" w:rsidP="00154FD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F8029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F8029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F8029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F80291" w:rsidRDefault="00DA60F8" w:rsidP="00154FD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F8029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F80291" w:rsidRDefault="00DA60F8" w:rsidP="00F8029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F8029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r w:rsidR="00F80291" w:rsidRPr="00F8029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Ефремова Ю.С.</w:t>
            </w:r>
          </w:p>
        </w:tc>
      </w:tr>
    </w:tbl>
    <w:p w:rsidR="00DA60F8" w:rsidRPr="00E6362F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E6362F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E6362F" w:rsidRDefault="00DA60F8" w:rsidP="00DA60F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438" w:rsidRPr="00E6362F" w:rsidRDefault="00F53438" w:rsidP="00DA60F8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5168" w:rsidRPr="00E6362F" w:rsidRDefault="00605168" w:rsidP="00462D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0ADB" w:rsidRPr="00E6362F" w:rsidRDefault="003A0ADB" w:rsidP="003A0ADB">
      <w:pPr>
        <w:rPr>
          <w:rFonts w:ascii="Times New Roman" w:hAnsi="Times New Roman" w:cs="Times New Roman"/>
          <w:sz w:val="20"/>
          <w:szCs w:val="20"/>
          <w:lang w:eastAsia="ru-RU"/>
        </w:rPr>
        <w:sectPr w:rsidR="003A0ADB" w:rsidRPr="00E6362F" w:rsidSect="00E02CAC">
          <w:footerReference w:type="default" r:id="rId11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E6362F" w:rsidRDefault="000373B9" w:rsidP="00AE759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73B9" w:rsidRPr="00E6362F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57" w:rsidRDefault="00296557" w:rsidP="00D75740">
      <w:pPr>
        <w:spacing w:after="0" w:line="240" w:lineRule="auto"/>
      </w:pPr>
      <w:r>
        <w:separator/>
      </w:r>
    </w:p>
  </w:endnote>
  <w:endnote w:type="continuationSeparator" w:id="0">
    <w:p w:rsidR="00296557" w:rsidRDefault="00296557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9A07D3" w:rsidRDefault="009A07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CF4" w:rsidRPr="00EF5CF4">
          <w:rPr>
            <w:noProof/>
            <w:lang w:val="ru-RU"/>
          </w:rPr>
          <w:t>6</w:t>
        </w:r>
        <w:r>
          <w:fldChar w:fldCharType="end"/>
        </w:r>
      </w:p>
    </w:sdtContent>
  </w:sdt>
  <w:p w:rsidR="009A07D3" w:rsidRDefault="009A07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57" w:rsidRDefault="00296557" w:rsidP="00D75740">
      <w:pPr>
        <w:spacing w:after="0" w:line="240" w:lineRule="auto"/>
      </w:pPr>
      <w:r>
        <w:separator/>
      </w:r>
    </w:p>
  </w:footnote>
  <w:footnote w:type="continuationSeparator" w:id="0">
    <w:p w:rsidR="00296557" w:rsidRDefault="00296557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9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9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3"/>
  </w:num>
  <w:num w:numId="4">
    <w:abstractNumId w:val="8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</w:num>
  <w:num w:numId="9">
    <w:abstractNumId w:val="11"/>
  </w:num>
  <w:num w:numId="10">
    <w:abstractNumId w:val="25"/>
  </w:num>
  <w:num w:numId="11">
    <w:abstractNumId w:val="26"/>
  </w:num>
  <w:num w:numId="12">
    <w:abstractNumId w:val="30"/>
  </w:num>
  <w:num w:numId="13">
    <w:abstractNumId w:val="21"/>
  </w:num>
  <w:num w:numId="14">
    <w:abstractNumId w:val="15"/>
  </w:num>
  <w:num w:numId="15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24"/>
  </w:num>
  <w:num w:numId="19">
    <w:abstractNumId w:val="10"/>
  </w:num>
  <w:num w:numId="20">
    <w:abstractNumId w:val="3"/>
  </w:num>
  <w:num w:numId="21">
    <w:abstractNumId w:val="22"/>
  </w:num>
  <w:num w:numId="22">
    <w:abstractNumId w:val="17"/>
  </w:num>
  <w:num w:numId="23">
    <w:abstractNumId w:val="5"/>
  </w:num>
  <w:num w:numId="24">
    <w:abstractNumId w:val="2"/>
  </w:num>
  <w:num w:numId="25">
    <w:abstractNumId w:val="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3"/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</w:num>
  <w:num w:numId="31">
    <w:abstractNumId w:val="27"/>
  </w:num>
  <w:num w:numId="32">
    <w:abstractNumId w:val="1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1212AF"/>
    <w:rsid w:val="00131483"/>
    <w:rsid w:val="00135930"/>
    <w:rsid w:val="00140CEA"/>
    <w:rsid w:val="00166563"/>
    <w:rsid w:val="00180761"/>
    <w:rsid w:val="00186F2F"/>
    <w:rsid w:val="001C6557"/>
    <w:rsid w:val="001E0437"/>
    <w:rsid w:val="001F47CB"/>
    <w:rsid w:val="0020060D"/>
    <w:rsid w:val="002748EB"/>
    <w:rsid w:val="00290396"/>
    <w:rsid w:val="00296557"/>
    <w:rsid w:val="002A0B1F"/>
    <w:rsid w:val="002B1875"/>
    <w:rsid w:val="002B60FB"/>
    <w:rsid w:val="002C71D6"/>
    <w:rsid w:val="002F1D32"/>
    <w:rsid w:val="002F5A6B"/>
    <w:rsid w:val="00333DAF"/>
    <w:rsid w:val="00357FD9"/>
    <w:rsid w:val="003A0ADB"/>
    <w:rsid w:val="00410D2F"/>
    <w:rsid w:val="00462D63"/>
    <w:rsid w:val="00467855"/>
    <w:rsid w:val="004861EE"/>
    <w:rsid w:val="004D0ECC"/>
    <w:rsid w:val="004D7B04"/>
    <w:rsid w:val="00505BB4"/>
    <w:rsid w:val="00522E3C"/>
    <w:rsid w:val="00527488"/>
    <w:rsid w:val="00557C09"/>
    <w:rsid w:val="00573575"/>
    <w:rsid w:val="00581F33"/>
    <w:rsid w:val="005B0B16"/>
    <w:rsid w:val="005D5BF3"/>
    <w:rsid w:val="00605168"/>
    <w:rsid w:val="006155BB"/>
    <w:rsid w:val="00626E36"/>
    <w:rsid w:val="00646FD1"/>
    <w:rsid w:val="006601F7"/>
    <w:rsid w:val="006666F2"/>
    <w:rsid w:val="00692B8C"/>
    <w:rsid w:val="00692DF5"/>
    <w:rsid w:val="006A35CD"/>
    <w:rsid w:val="006C16BD"/>
    <w:rsid w:val="006F217A"/>
    <w:rsid w:val="00712690"/>
    <w:rsid w:val="007144CB"/>
    <w:rsid w:val="007209CD"/>
    <w:rsid w:val="00747383"/>
    <w:rsid w:val="00774E27"/>
    <w:rsid w:val="008142A8"/>
    <w:rsid w:val="0084487B"/>
    <w:rsid w:val="00876834"/>
    <w:rsid w:val="00877D1F"/>
    <w:rsid w:val="008A74AC"/>
    <w:rsid w:val="008B012D"/>
    <w:rsid w:val="008E2981"/>
    <w:rsid w:val="00920987"/>
    <w:rsid w:val="009476E0"/>
    <w:rsid w:val="00951CA5"/>
    <w:rsid w:val="009804B5"/>
    <w:rsid w:val="009A07D3"/>
    <w:rsid w:val="009D032E"/>
    <w:rsid w:val="009E0F62"/>
    <w:rsid w:val="009E4248"/>
    <w:rsid w:val="00A2641D"/>
    <w:rsid w:val="00A35820"/>
    <w:rsid w:val="00A56137"/>
    <w:rsid w:val="00A815CD"/>
    <w:rsid w:val="00A87E5F"/>
    <w:rsid w:val="00A91385"/>
    <w:rsid w:val="00A92542"/>
    <w:rsid w:val="00AE759D"/>
    <w:rsid w:val="00B25A02"/>
    <w:rsid w:val="00B30772"/>
    <w:rsid w:val="00B6087C"/>
    <w:rsid w:val="00BA2A5F"/>
    <w:rsid w:val="00BA4D4E"/>
    <w:rsid w:val="00BB3AAC"/>
    <w:rsid w:val="00C01F83"/>
    <w:rsid w:val="00C208C6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A60F8"/>
    <w:rsid w:val="00DC7CC9"/>
    <w:rsid w:val="00DE0A3E"/>
    <w:rsid w:val="00DF0125"/>
    <w:rsid w:val="00E02CAC"/>
    <w:rsid w:val="00E374AB"/>
    <w:rsid w:val="00E6362F"/>
    <w:rsid w:val="00EB7EEF"/>
    <w:rsid w:val="00EE3F43"/>
    <w:rsid w:val="00EF495D"/>
    <w:rsid w:val="00EF5CF4"/>
    <w:rsid w:val="00F078D1"/>
    <w:rsid w:val="00F45682"/>
    <w:rsid w:val="00F467F2"/>
    <w:rsid w:val="00F53438"/>
    <w:rsid w:val="00F6355E"/>
    <w:rsid w:val="00F77D01"/>
    <w:rsid w:val="00F8029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B558-9CFE-4A33-B17C-B81F66EB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29</cp:revision>
  <cp:lastPrinted>2020-08-05T05:35:00Z</cp:lastPrinted>
  <dcterms:created xsi:type="dcterms:W3CDTF">2020-02-28T05:22:00Z</dcterms:created>
  <dcterms:modified xsi:type="dcterms:W3CDTF">2020-08-05T05:36:00Z</dcterms:modified>
</cp:coreProperties>
</file>