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F75D07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1D0F70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03.11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D0F70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1D0F7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28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A9170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</w:t>
            </w:r>
            <w:r w:rsidR="001D0F7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36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332511" w:rsidRDefault="00332511" w:rsidP="003325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8"/>
          <w:lang w:eastAsia="ru-RU"/>
        </w:rPr>
      </w:pPr>
    </w:p>
    <w:p w:rsidR="001D0F70" w:rsidRPr="001D0F70" w:rsidRDefault="001D0F70" w:rsidP="001D0F70">
      <w:pPr>
        <w:widowControl w:val="0"/>
        <w:tabs>
          <w:tab w:val="left" w:pos="673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sz w:val="20"/>
          <w:szCs w:val="20"/>
          <w:lang w:eastAsia="zh-CN"/>
        </w:rPr>
        <w:t>РОССИЙСКАЯ ФЕДЕРАЦИЯ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АДМИНИСТРАЦИЯ</w:t>
      </w:r>
    </w:p>
    <w:p w:rsidR="001D0F70" w:rsidRPr="001D0F70" w:rsidRDefault="001D0F70" w:rsidP="001D0F70">
      <w:pPr>
        <w:widowControl w:val="0"/>
        <w:tabs>
          <w:tab w:val="left" w:pos="661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сельского поселения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МАЛЫЙ ТОЛКАЙ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муниципального района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Похвистневский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Самарской области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D0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ПОСТАНОВЛЕНИЕ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</w:pPr>
      <w:r w:rsidRPr="001D0F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Pr="001D0F70">
        <w:rPr>
          <w:rFonts w:ascii="Times New Roman" w:eastAsia="Times New Roman" w:hAnsi="Times New Roman" w:cs="Times New Roman"/>
          <w:bCs/>
          <w:kern w:val="16"/>
          <w:sz w:val="20"/>
          <w:szCs w:val="20"/>
          <w:lang w:eastAsia="ru-RU"/>
        </w:rPr>
        <w:t>02.11.2021 г. № 62</w:t>
      </w:r>
    </w:p>
    <w:p w:rsidR="001D0F70" w:rsidRPr="001D0F70" w:rsidRDefault="001D0F70" w:rsidP="001D0F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D0F70" w:rsidRPr="001D0F70" w:rsidRDefault="001D0F70" w:rsidP="001D0F70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>О проведении публичных слушаний</w:t>
      </w:r>
      <w:r w:rsidRPr="001D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D0F70" w:rsidRP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по проекту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изменений в Генеральный план </w:t>
      </w:r>
    </w:p>
    <w:p w:rsidR="001D0F70" w:rsidRP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</w:t>
      </w:r>
    </w:p>
    <w:p w:rsidR="001D0F70" w:rsidRP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муниципального района Похвистневский  Самарской области</w:t>
      </w:r>
    </w:p>
    <w:p w:rsidR="001D0F70" w:rsidRPr="001D0F70" w:rsidRDefault="001D0F70" w:rsidP="001D0F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 Самарской области, Порядком организации и проведения публичных слушаний в сфере градостроительной деятельности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 Самарской области от 27.11.2019 года № 130 Постановляю: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1. Провести на территории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муниципального района Похвистневский  Самарской области публичные слушания по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проекту решения Собрания представителей сельского поселения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Малый Толкай  муниципального района Похвистневский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Самарской области «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 внесении изменений в Генеральный план сельского поселения Малый Толкай  муниципального района Похвистневский Самарской области</w:t>
      </w:r>
      <w:r w:rsidRPr="001D0F70">
        <w:rPr>
          <w:rFonts w:ascii="Times New Roman" w:eastAsia="MS Mincho" w:hAnsi="Times New Roman" w:cs="Times New Roman"/>
          <w:sz w:val="20"/>
          <w:szCs w:val="20"/>
          <w:lang w:eastAsia="ar-SA"/>
        </w:rPr>
        <w:t>»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 Самарской области «О внесении изменений в Генеральный план сельского поселения Малый Толкай  муниципального района Похвистневский Самарской области» с приложениями.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2. Срок проведения публичных слушаний по проекту - с 02 ноября 2021 года по 06 декабря  2021 года.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муниципального района Похвистневский Самарской области (далее – Администрация поселения). Публичные слушания проводятся в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соответствии с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begin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instrText xml:space="preserve"> MERGEFIELD Полное_наименование_Порядка_проведения_ </w:instrTex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separate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Порядком организации и проведения публичных слушаний по вопросам градостроительной деятельности в сельском поселении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 Самарской области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end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утвержденным решением Собрания представителей сельского поселения Малый Толкай  муниципального района Похвистневский Самарской области 27.11.2019 года № 130 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begin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instrText xml:space="preserve"> MERGEFIELD Полное_наименование_Порядка_проведения_ </w:instrTex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separate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Порядком организации и проведения публичных слушаний по вопросам градостроительной деятельности в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end"/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утвержденным решением Собрания представителей сельского поселения  Малый Толкай муниципального района Похвистневский  Самарской области от  27.11.2019 года № 130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6. Место проведения публичных слушаний (место проведения экспозиции проекта) в сельском поселении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  муниципального района Похвистневский Самарской области: 446468,Самарская область, Похвистневский район, село Малый Толкай, ул.Молодежная, д.2.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1D0F70">
        <w:rPr>
          <w:rFonts w:ascii="Times New Roman" w:eastAsia="MS Mincho" w:hAnsi="Times New Roman" w:cs="Times New Roman"/>
          <w:spacing w:val="-1"/>
          <w:sz w:val="20"/>
          <w:szCs w:val="20"/>
          <w:lang w:eastAsia="ru-RU"/>
        </w:rPr>
        <w:t xml:space="preserve">сети «Интернет»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8. Собрания участников публичных слушаний по проекту состоятся в </w:t>
      </w:r>
      <w:r w:rsidRPr="001D0F70">
        <w:rPr>
          <w:rFonts w:ascii="Times New Roman" w:eastAsia="MS Mincho" w:hAnsi="Times New Roman" w:cs="Times New Roman"/>
          <w:sz w:val="20"/>
          <w:szCs w:val="20"/>
          <w:u w:val="single"/>
          <w:lang w:eastAsia="ru-RU"/>
        </w:rPr>
        <w:t>каждом населенном пункте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сельского поселения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 муниципального района Похвистневский Самарской области по адресам: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в селе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– </w:t>
      </w:r>
      <w:r w:rsidRPr="001D0F7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17.11.2021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10.00 часов по адресу: Самарская область, Похвистневский район, село Малый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олкай, ул. Молодёжная, д 2б.;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поселке Камышевка </w:t>
      </w:r>
      <w:r w:rsidRPr="001D0F7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– 17.11.2021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12.00 часов по адресу: Самарская область, Похвистневский район, поселок Камышевка, ул.Ленина, д.40А;</w:t>
      </w:r>
    </w:p>
    <w:p w:rsidR="001D0F70" w:rsidRPr="001D0F70" w:rsidRDefault="001D0F70" w:rsidP="001D0F70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в поселке Передовка  </w:t>
      </w:r>
      <w:r w:rsidRPr="001D0F7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– 17.11.2021 в 14.00 часов по адресу: Самарская область, Похвистневский район, поселок Передовка, ул. Юбилейная02., д.2а;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на железнодорожном разъезде Тунгуз 17.11.2021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16.00 часов по адресу: Самарская область, Похвистневский район, железнодорожный разъезд Тунгуз, ул. Лесная, д.1.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а также по адресам, указанным в пункте 8 в ходе проведения собраний участников публичных слушаний.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9. Замечания и предложения могут быть внесены: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2) в письменной форме в адрес организатора публичных слушаний;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03 декабря 2021  - за три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дня до окончания срока проведения публичных слушаний с целью подготовки заключения о результатах публичных слушаний. 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11. Назначить лицом, ответственным за ведение протокола публичных слушаний по проекту</w:t>
      </w:r>
      <w:r w:rsidRPr="001D0F70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 xml:space="preserve"> заместителя Главы поселения Малый Толкай Ю.С. Ефремову.</w:t>
      </w:r>
    </w:p>
    <w:p w:rsidR="001D0F70" w:rsidRPr="001D0F70" w:rsidRDefault="001D0F70" w:rsidP="001D0F7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 xml:space="preserve">12.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Назначить лицом, ответственным за ведение протоколов собраний участников публичных слушаний по проекту Главу сельского поселения Р.</w:t>
      </w:r>
      <w:proofErr w:type="gramStart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Ю</w:t>
      </w:r>
      <w:proofErr w:type="gramEnd"/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Атякшеву.</w:t>
      </w:r>
    </w:p>
    <w:p w:rsidR="001D0F70" w:rsidRPr="001D0F70" w:rsidRDefault="001D0F70" w:rsidP="001D0F70">
      <w:pPr>
        <w:tabs>
          <w:tab w:val="left" w:pos="1620"/>
        </w:tabs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 xml:space="preserve">          </w:t>
      </w: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>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1D0F70" w:rsidRPr="001D0F70" w:rsidRDefault="001D0F70" w:rsidP="001D0F70">
      <w:pPr>
        <w:numPr>
          <w:ilvl w:val="0"/>
          <w:numId w:val="36"/>
        </w:numPr>
        <w:tabs>
          <w:tab w:val="left" w:pos="567"/>
        </w:tabs>
        <w:spacing w:after="0" w:line="360" w:lineRule="auto"/>
        <w:ind w:left="0" w:firstLine="851"/>
        <w:contextualSpacing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официальное опубликование проекта в газете «Вестник поселения Малый Толкай.»;</w:t>
      </w:r>
    </w:p>
    <w:p w:rsidR="001D0F70" w:rsidRPr="001D0F70" w:rsidRDefault="001D0F70" w:rsidP="001D0F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размещение проекта на официальном сайте Администрации сельского поселения Малый</w:t>
      </w:r>
      <w:proofErr w:type="gramStart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олкай  муниципального района Похвистневский Самарской области в информационно-телекоммуникационной сети «Интернет» </w:t>
      </w:r>
      <w:r w:rsidRPr="001D0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http://maltolkay.ru/</w:t>
      </w: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;</w:t>
      </w:r>
    </w:p>
    <w:p w:rsidR="001D0F70" w:rsidRPr="001D0F70" w:rsidRDefault="001D0F70" w:rsidP="001D0F70">
      <w:pPr>
        <w:tabs>
          <w:tab w:val="left" w:pos="567"/>
        </w:tabs>
        <w:spacing w:after="0" w:line="360" w:lineRule="auto"/>
        <w:ind w:firstLine="709"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1D0F70" w:rsidRPr="001D0F70" w:rsidRDefault="001D0F70" w:rsidP="001D0F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14. Настоящее постановление является оповещением о начале публичных слушаний и подлежит опубликованию в газете «Вестник поселения Малый</w:t>
      </w:r>
      <w:proofErr w:type="gramStart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 Т</w:t>
      </w:r>
      <w:proofErr w:type="gramEnd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олкай» и на официальном сайте Администрации сельского поселения Малый Толкай муниципального района Похвистневский Самарской области в информационно-телекоммуникационной сети «Интернет» </w:t>
      </w:r>
      <w:r w:rsidRPr="001D0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http://maltolkay.ru/</w:t>
      </w: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;</w:t>
      </w:r>
    </w:p>
    <w:p w:rsidR="001D0F70" w:rsidRPr="001D0F70" w:rsidRDefault="001D0F70" w:rsidP="001D0F70">
      <w:pPr>
        <w:tabs>
          <w:tab w:val="left" w:pos="567"/>
        </w:tabs>
        <w:spacing w:after="0" w:line="360" w:lineRule="auto"/>
        <w:ind w:firstLine="709"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15. В случае</w:t>
      </w:r>
      <w:proofErr w:type="gramStart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>,</w:t>
      </w:r>
      <w:proofErr w:type="gramEnd"/>
      <w:r w:rsidRPr="001D0F70">
        <w:rPr>
          <w:rFonts w:ascii="Cambria" w:eastAsia="MS Mincho" w:hAnsi="Cambria" w:cs="Times New Roman"/>
          <w:sz w:val="20"/>
          <w:szCs w:val="20"/>
          <w:lang w:eastAsia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D0F70" w:rsidRPr="001D0F70" w:rsidRDefault="001D0F70" w:rsidP="001D0F70">
      <w:pPr>
        <w:spacing w:after="0" w:line="360" w:lineRule="auto"/>
        <w:ind w:firstLine="851"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360" w:lineRule="auto"/>
        <w:ind w:firstLine="851"/>
        <w:jc w:val="both"/>
        <w:rPr>
          <w:rFonts w:ascii="Cambria" w:eastAsia="MS Mincho" w:hAnsi="Cambria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1D0F70" w:rsidRPr="001D0F70" w:rsidTr="00EE314C">
        <w:tc>
          <w:tcPr>
            <w:tcW w:w="3227" w:type="dxa"/>
          </w:tcPr>
          <w:p w:rsidR="001D0F70" w:rsidRDefault="001D0F70" w:rsidP="001D0F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0F70" w:rsidRDefault="001D0F70" w:rsidP="001D0F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0F70" w:rsidRDefault="001D0F70" w:rsidP="001D0F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1D0F70" w:rsidRPr="001D0F70" w:rsidRDefault="001D0F70" w:rsidP="001D0F7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Глава поселения     Р.Ю. Атякшева</w:t>
            </w:r>
            <w:r w:rsidRPr="001D0F7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D0F70" w:rsidRPr="001D0F70" w:rsidRDefault="001D0F70" w:rsidP="001D0F7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1D0F7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</w:t>
      </w:r>
    </w:p>
    <w:p w:rsidR="00A91704" w:rsidRPr="001D0F70" w:rsidRDefault="00A91704" w:rsidP="0033251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66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332511" w:rsidRPr="00081C32" w:rsidTr="00332511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11" w:rsidRPr="00081C32" w:rsidRDefault="00332511" w:rsidP="00332511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332511" w:rsidRPr="00081C32" w:rsidRDefault="00332511" w:rsidP="0033251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332511" w:rsidRPr="00081C32" w:rsidTr="00332511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11" w:rsidRPr="00081C32" w:rsidRDefault="00332511" w:rsidP="0033251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11" w:rsidRPr="00081C32" w:rsidRDefault="00332511" w:rsidP="0033251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11" w:rsidRPr="00081C32" w:rsidRDefault="00332511" w:rsidP="0033251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081C32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A91704" w:rsidRPr="00071958" w:rsidRDefault="00A91704" w:rsidP="001D0F70">
      <w:pPr>
        <w:framePr w:w="4047" w:wrap="auto" w:hAnchor="text"/>
        <w:rPr>
          <w:rFonts w:ascii="Times New Roman" w:hAnsi="Times New Roman" w:cs="Times New Roman"/>
          <w:sz w:val="16"/>
          <w:szCs w:val="16"/>
          <w:lang w:eastAsia="ru-RU"/>
        </w:rPr>
        <w:sectPr w:rsidR="00A91704" w:rsidRPr="00071958" w:rsidSect="001D0F70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num="2" w:space="709"/>
          <w:docGrid w:linePitch="360"/>
        </w:sectPr>
      </w:pPr>
    </w:p>
    <w:p w:rsidR="000373B9" w:rsidRPr="00071958" w:rsidRDefault="000373B9" w:rsidP="00081C3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071958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07" w:rsidRDefault="00F75D07" w:rsidP="00D75740">
      <w:pPr>
        <w:spacing w:after="0" w:line="240" w:lineRule="auto"/>
      </w:pPr>
      <w:r>
        <w:separator/>
      </w:r>
    </w:p>
  </w:endnote>
  <w:endnote w:type="continuationSeparator" w:id="0">
    <w:p w:rsidR="00F75D07" w:rsidRDefault="00F75D07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F70" w:rsidRPr="001D0F70">
          <w:rPr>
            <w:noProof/>
            <w:lang w:val="ru-RU"/>
          </w:rPr>
          <w:t>4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07" w:rsidRDefault="00F75D07" w:rsidP="00D75740">
      <w:pPr>
        <w:spacing w:after="0" w:line="240" w:lineRule="auto"/>
      </w:pPr>
      <w:r>
        <w:separator/>
      </w:r>
    </w:p>
  </w:footnote>
  <w:footnote w:type="continuationSeparator" w:id="0">
    <w:p w:rsidR="00F75D07" w:rsidRDefault="00F75D07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FB45CC"/>
    <w:multiLevelType w:val="multilevel"/>
    <w:tmpl w:val="FF96E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1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1"/>
  </w:num>
  <w:num w:numId="10">
    <w:abstractNumId w:val="27"/>
  </w:num>
  <w:num w:numId="11">
    <w:abstractNumId w:val="28"/>
  </w:num>
  <w:num w:numId="12">
    <w:abstractNumId w:val="33"/>
  </w:num>
  <w:num w:numId="13">
    <w:abstractNumId w:val="23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4"/>
  </w:num>
  <w:num w:numId="22">
    <w:abstractNumId w:val="19"/>
  </w:num>
  <w:num w:numId="23">
    <w:abstractNumId w:val="5"/>
  </w:num>
  <w:num w:numId="24">
    <w:abstractNumId w:val="2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9"/>
  </w:num>
  <w:num w:numId="32">
    <w:abstractNumId w:val="12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3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71958"/>
    <w:rsid w:val="00080341"/>
    <w:rsid w:val="00081C32"/>
    <w:rsid w:val="001212AF"/>
    <w:rsid w:val="00131483"/>
    <w:rsid w:val="00135930"/>
    <w:rsid w:val="00140CEA"/>
    <w:rsid w:val="00166563"/>
    <w:rsid w:val="00180761"/>
    <w:rsid w:val="00186F2F"/>
    <w:rsid w:val="001C6557"/>
    <w:rsid w:val="001D0F70"/>
    <w:rsid w:val="001E0437"/>
    <w:rsid w:val="001F47CB"/>
    <w:rsid w:val="0020060D"/>
    <w:rsid w:val="002523AB"/>
    <w:rsid w:val="002748EB"/>
    <w:rsid w:val="00290396"/>
    <w:rsid w:val="002A0B1F"/>
    <w:rsid w:val="002B1875"/>
    <w:rsid w:val="002B60FB"/>
    <w:rsid w:val="002C71D6"/>
    <w:rsid w:val="002F1D32"/>
    <w:rsid w:val="002F5A6B"/>
    <w:rsid w:val="00310BD3"/>
    <w:rsid w:val="00332511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B0B16"/>
    <w:rsid w:val="005D5BF3"/>
    <w:rsid w:val="00605168"/>
    <w:rsid w:val="006155BB"/>
    <w:rsid w:val="00626E36"/>
    <w:rsid w:val="006317CD"/>
    <w:rsid w:val="00646FD1"/>
    <w:rsid w:val="006601F7"/>
    <w:rsid w:val="006666F2"/>
    <w:rsid w:val="00674331"/>
    <w:rsid w:val="00692B8C"/>
    <w:rsid w:val="00692DF5"/>
    <w:rsid w:val="006A35CD"/>
    <w:rsid w:val="006C16BD"/>
    <w:rsid w:val="006E68E9"/>
    <w:rsid w:val="006F217A"/>
    <w:rsid w:val="00712690"/>
    <w:rsid w:val="007144CB"/>
    <w:rsid w:val="00716AE1"/>
    <w:rsid w:val="007209CD"/>
    <w:rsid w:val="00747383"/>
    <w:rsid w:val="00774E27"/>
    <w:rsid w:val="007D1171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1704"/>
    <w:rsid w:val="00A92542"/>
    <w:rsid w:val="00AE759D"/>
    <w:rsid w:val="00B25A02"/>
    <w:rsid w:val="00B30772"/>
    <w:rsid w:val="00B6087C"/>
    <w:rsid w:val="00BA2A5F"/>
    <w:rsid w:val="00BA4D4E"/>
    <w:rsid w:val="00C01F83"/>
    <w:rsid w:val="00C208C6"/>
    <w:rsid w:val="00C30549"/>
    <w:rsid w:val="00C840C5"/>
    <w:rsid w:val="00CA3E10"/>
    <w:rsid w:val="00CC28BD"/>
    <w:rsid w:val="00CF4F5F"/>
    <w:rsid w:val="00D02BAC"/>
    <w:rsid w:val="00D125CC"/>
    <w:rsid w:val="00D12F53"/>
    <w:rsid w:val="00D20721"/>
    <w:rsid w:val="00D210B1"/>
    <w:rsid w:val="00D224AB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55E"/>
    <w:rsid w:val="00F75D07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C942-95C8-41CB-BE75-500B707A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34</cp:revision>
  <cp:lastPrinted>2021-11-08T05:41:00Z</cp:lastPrinted>
  <dcterms:created xsi:type="dcterms:W3CDTF">2020-02-28T05:22:00Z</dcterms:created>
  <dcterms:modified xsi:type="dcterms:W3CDTF">2021-11-08T05:42:00Z</dcterms:modified>
</cp:coreProperties>
</file>