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FE646D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126A4B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17.03.</w:t>
            </w:r>
            <w:r w:rsidR="00183C9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183C9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126A4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10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126A4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358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5E2B1E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26A4B" w:rsidRPr="00126A4B" w:rsidTr="0010010C">
        <w:tc>
          <w:tcPr>
            <w:tcW w:w="4068" w:type="dxa"/>
          </w:tcPr>
          <w:p w:rsidR="00126A4B" w:rsidRPr="00126A4B" w:rsidRDefault="00126A4B" w:rsidP="00126A4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126A4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АДМИНИСТРАЦИЯ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МАЛЫЙ ТОЛКАЙ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района Похвистневский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Самарской области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26A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ПОСТАНОВЛЕНИЕ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17.03.2022</w:t>
            </w: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 а</w:t>
            </w:r>
          </w:p>
          <w:p w:rsidR="00126A4B" w:rsidRPr="00126A4B" w:rsidRDefault="00126A4B" w:rsidP="00126A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Малый</w:t>
            </w:r>
            <w:proofErr w:type="gramStart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проведении публичных слушаний по проекту решения 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внесении изменений в  </w:t>
      </w: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благоустройства 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олкай  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Похвистневский Самарской области» 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приведения нормативного правового акта в соответствие с действующим законодательством, в соответствии с Законом Самарской области от 13.06.2018 № 48-ГД «О порядке определений границ прилегающих территорий для целей благоустройства в Самарской области», Законом Самарской области от 01.11.2007 №115-ГД (ред. от 11.02.2022) "Об административных правонарушениях на территории Самарской области", Администрация сельского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126A4B" w:rsidRPr="00126A4B" w:rsidRDefault="00126A4B" w:rsidP="00126A4B">
      <w:pPr>
        <w:tabs>
          <w:tab w:val="left" w:pos="709"/>
        </w:tabs>
        <w:suppressAutoHyphens/>
        <w:spacing w:before="120" w:line="100" w:lineRule="atLeast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>1. Провести в сельском поселении  Малый</w:t>
      </w:r>
      <w:proofErr w:type="gramStart"/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олкай муниципального района Похвистневский Самарской области публичные слушания </w:t>
      </w: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>по</w:t>
      </w: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 внесению изменений в  </w:t>
      </w:r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ar-SA"/>
        </w:rPr>
        <w:t xml:space="preserve">Правила благоустройства территории сельского поселения Малый Толкай муниципального района Похвистневский </w:t>
      </w:r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ru-RU"/>
        </w:rPr>
        <w:t xml:space="preserve">Самарской области, утвержденные Решением Собрания представителей сельского поселения Малый Толкай муниципального района Похвистневский Самарской области </w:t>
      </w:r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ar-SA"/>
        </w:rPr>
        <w:t xml:space="preserve">от </w:t>
      </w:r>
      <w:r w:rsidRPr="00126A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  <w:lang w:eastAsia="ar-SA"/>
        </w:rPr>
        <w:t>03.06.2020 г. № 146.</w:t>
      </w:r>
    </w:p>
    <w:p w:rsidR="00126A4B" w:rsidRPr="00126A4B" w:rsidRDefault="00126A4B" w:rsidP="00126A4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</w:pP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 2. Срок проведения публичных слушаний по внесению изменений в  </w:t>
      </w:r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ar-SA"/>
        </w:rPr>
        <w:t>Правила благоустройства территории сельского поселения Малый</w:t>
      </w:r>
      <w:proofErr w:type="gramStart"/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ar-SA"/>
        </w:rPr>
        <w:t>олкай муниципального района Похвистневский Самарской области</w:t>
      </w: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  </w:t>
      </w:r>
      <w:r w:rsidRPr="00126A4B">
        <w:rPr>
          <w:rFonts w:ascii="Times New Roman" w:eastAsia="Calibri" w:hAnsi="Times New Roman" w:cs="Times New Roman"/>
          <w:sz w:val="20"/>
          <w:szCs w:val="20"/>
          <w:lang w:eastAsia="ar-SA"/>
        </w:rPr>
        <w:t>с 22.03.2022 года по 25.04.2022</w:t>
      </w:r>
      <w:r w:rsidRPr="00126A4B">
        <w:rPr>
          <w:rFonts w:ascii="Times New Roman" w:eastAsia="Calibri" w:hAnsi="Times New Roman" w:cs="Times New Roman"/>
          <w:color w:val="00000A"/>
          <w:sz w:val="20"/>
          <w:szCs w:val="20"/>
          <w:lang w:eastAsia="ar-SA"/>
        </w:rPr>
        <w:t xml:space="preserve"> года. 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0" w:name="_Hlk9344972"/>
      <w:bookmarkStart w:id="1" w:name="_Hlk15472129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  <w:bookmarkEnd w:id="1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bookmarkEnd w:id="0"/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Представление участниками публичных слушаний предложений и замечаний по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проекту решения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их учет осуществляется в соответствии с </w:t>
      </w:r>
      <w:bookmarkStart w:id="2" w:name="_Hlk9412081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Главой 10 Порядка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bookmarkEnd w:id="2"/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публичных слушаний (место </w:t>
      </w:r>
      <w:bookmarkStart w:id="3" w:name="_Hlk15473640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экспозиции проекта решения</w:t>
      </w:r>
      <w:bookmarkEnd w:id="3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bookmarkStart w:id="4" w:name="_Hlk22557210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сельском поселении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  <w:bookmarkEnd w:id="4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bookmarkStart w:id="5" w:name="_Hlk5887606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Самарская область, Похвистневский район, село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олкай, </w:t>
      </w:r>
      <w:bookmarkStart w:id="6" w:name="_Hlk5789735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Молодёжная, д. 2</w:t>
      </w:r>
      <w:bookmarkEnd w:id="5"/>
      <w:bookmarkEnd w:id="6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б.</w:t>
      </w:r>
      <w:r w:rsidRPr="00126A4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bookmarkStart w:id="7" w:name="_Hlk14700604"/>
      <w:bookmarkStart w:id="8" w:name="_Hlk9418778"/>
      <w:bookmarkStart w:id="9" w:name="_Hlk14084916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собрания участников публичных слушаний по вопросу публичных слушаний в каждом населенном пункте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области: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селе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«04» апреля 2022 года </w:t>
      </w:r>
      <w:bookmarkStart w:id="10" w:name="_Hlk5887516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10.00</w:t>
      </w:r>
      <w:bookmarkEnd w:id="10"/>
      <w:r w:rsidRPr="00126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bookmarkEnd w:id="9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Самарская область, Похвистневский район, село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олкай, </w:t>
      </w:r>
      <w:bookmarkEnd w:id="8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Молодёжная, д. 2б;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поселке Камышевка «05» апреля 2022 года в 12.00 по адресу: Самарская область, Похвистневский район, поселок Камышевка, ул. Ленина, д.40А;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поселке Передовка «06» апреля 2022 года в 14.00 по адресу: Самарская область, Похвистневский район, поселок Передовка, ул. Юбилейная, д. 2а;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железнодорожном разъезде Тунгуз «07» апреля 2022 года в 16.00</w:t>
      </w:r>
      <w:r w:rsidRPr="00126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Самарская область, Похвистневский район, железнодорожный разъезд Тунгуз, ул. Лесная, д.1;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поселке Шиповка «08» апреля 2022 года в 18.00 по адресу: Самарская область, Похвистневский район, поселок Шиповка, ул. Ленина, д.29</w:t>
      </w:r>
    </w:p>
    <w:bookmarkEnd w:id="7"/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7. Администрации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  <w:bookmarkStart w:id="11" w:name="_Hlk14701894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Самарской области </w:t>
      </w:r>
      <w:bookmarkEnd w:id="11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доведения до населения информации о содержании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проекта решения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проекту решения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открытия экспозиции считается дата опубликования проекта решения и его размещения </w:t>
      </w:r>
      <w:bookmarkStart w:id="12" w:name="_Hlk20309729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</w:t>
      </w:r>
      <w:bookmarkStart w:id="13" w:name="_Hlk15472517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в информационно-телекоммуникационной сети «Интернет» по адресу: </w:t>
      </w:r>
      <w:bookmarkEnd w:id="12"/>
      <w:bookmarkEnd w:id="13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http://maltolkay.ru/ в порядке, установленном пунктом 1 части 8 статьи 5.1 Градостроительного кодекса Российской Федерации.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Экспозиция проводится в срок до даты окончания публичных слушаний. </w:t>
      </w:r>
      <w:bookmarkStart w:id="14" w:name="_Hlk14090147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экспозиции возможно в рабочие дни с 9.00 до 17.00</w:t>
      </w:r>
      <w:bookmarkEnd w:id="14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5" w:name="_Hlk14090524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Информационные материалы к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отсутствуют.</w:t>
      </w:r>
    </w:p>
    <w:bookmarkEnd w:id="15"/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Прием замечаний и предложений от жителей поселения и иных заинтересованных лиц по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открытия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Замечания и предложения могут быть внесены</w:t>
      </w:r>
      <w:r w:rsidRPr="00126A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письменной форме в адрес организатора публичных слушаний;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16071278"/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16"/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замечаний и предложений по проекту решения осуществляется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22 марта 2022 года по </w:t>
      </w:r>
      <w:bookmarkStart w:id="17" w:name="_Hlk14273393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22 апреля 2022 года</w:t>
      </w:r>
      <w:bookmarkEnd w:id="17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включительно.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10. Назначить лицом, уполномоченным председательствовать на собраниях участников публичных слушаний Главу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Атякшеву Р.Ю.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заместителя главы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Ефремову Ю.С.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Опубликовать настоящее постановление и прилагаемый к нему проект решения в </w:t>
      </w:r>
      <w:bookmarkStart w:id="18" w:name="_Hlk5790921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газете </w:t>
      </w:r>
      <w:bookmarkStart w:id="19" w:name="_Hlk14086219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Вестник поселения Малый</w:t>
      </w:r>
      <w:proofErr w:type="gramStart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олкай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bookmarkEnd w:id="18"/>
      <w:bookmarkEnd w:id="19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20" w:name="_Hlk14087794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и разместить на официальном сайте Администрации сельского поселения Малый Толкай муниципального района Похвистневский Самарской области в информационно-телекоммуникационной сети «Интернет» по адресу: http://maltolkay.ru/.</w:t>
      </w:r>
    </w:p>
    <w:bookmarkEnd w:id="20"/>
    <w:p w:rsidR="00126A4B" w:rsidRPr="00126A4B" w:rsidRDefault="00126A4B" w:rsidP="00126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color="FFFFFF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13. Администрации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Самарской области </w:t>
      </w:r>
      <w:r w:rsidRPr="00126A4B">
        <w:rPr>
          <w:rFonts w:ascii="Times New Roman" w:eastAsia="Times New Roman" w:hAnsi="Times New Roman" w:cs="Times New Roman"/>
          <w:sz w:val="20"/>
          <w:szCs w:val="20"/>
          <w:u w:color="FFFFFF"/>
          <w:lang w:eastAsia="ru-RU"/>
        </w:rPr>
        <w:t xml:space="preserve">в целях заблаговременного ознакомления жителей поселения и иных заинтересованных лиц с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проектом решения </w:t>
      </w:r>
      <w:r w:rsidRPr="00126A4B">
        <w:rPr>
          <w:rFonts w:ascii="Times New Roman" w:eastAsia="Times New Roman" w:hAnsi="Times New Roman" w:cs="Times New Roman"/>
          <w:sz w:val="20"/>
          <w:szCs w:val="20"/>
          <w:u w:color="FFFFFF"/>
          <w:lang w:eastAsia="ru-RU"/>
        </w:rPr>
        <w:t>обеспечить: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официальное опубликование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проекта решения </w:t>
      </w:r>
      <w:bookmarkStart w:id="21" w:name="_Hlk14090064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газете «</w:t>
      </w: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Вестник поселения Малый</w:t>
      </w:r>
      <w:proofErr w:type="gramStart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bookmarkEnd w:id="21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размещение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проекта решения и информационных материалов на официальном сайте Администрации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 в информационно-телекоммуникационной сети «Интернет» по адресу: http://maltolkay.ru/;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беспрепятственный доступ к ознакомлению с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проектом решения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здании Администрации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(в соответствии с режимом работы Администрации сельского поселения Малый Толкай муниципального района Похвистневский Самарской области).</w:t>
      </w:r>
    </w:p>
    <w:p w:rsidR="00126A4B" w:rsidRPr="00126A4B" w:rsidRDefault="00126A4B" w:rsidP="0012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 случае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26A4B" w:rsidRPr="00126A4B" w:rsidRDefault="00126A4B" w:rsidP="00126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                                      </w:t>
      </w:r>
    </w:p>
    <w:p w:rsidR="00126A4B" w:rsidRPr="00126A4B" w:rsidRDefault="00126A4B" w:rsidP="00126A4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              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Р.Ю.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Атякшев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Start w:id="22" w:name="_GoBack"/>
      <w:bookmarkEnd w:id="22"/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126A4B" w:rsidRPr="00126A4B" w:rsidTr="0010010C">
        <w:tc>
          <w:tcPr>
            <w:tcW w:w="5245" w:type="dxa"/>
          </w:tcPr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представителей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</w:t>
            </w:r>
            <w:proofErr w:type="gramStart"/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олкай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четвертого созыва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 № ____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Малый</w:t>
            </w:r>
            <w:proofErr w:type="gramStart"/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олкай</w:t>
            </w:r>
          </w:p>
          <w:p w:rsidR="00126A4B" w:rsidRPr="00126A4B" w:rsidRDefault="00126A4B" w:rsidP="00126A4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Собрания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 сельского  поселения Малый</w:t>
            </w:r>
            <w:proofErr w:type="gramStart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126A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03.06.2020 № 146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 утверждении Правил благоустройства </w:t>
            </w:r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сельского поселения Малый</w:t>
            </w:r>
            <w:proofErr w:type="gramStart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12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</w:t>
            </w:r>
            <w:r w:rsidRPr="00126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 Самарской области»</w:t>
            </w:r>
            <w:r w:rsidRPr="00126A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126A4B" w:rsidRDefault="00126A4B" w:rsidP="00126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6A4B" w:rsidRDefault="00126A4B" w:rsidP="00126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6A4B" w:rsidRPr="00126A4B" w:rsidRDefault="00126A4B" w:rsidP="001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_Hlk520360196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bookmarkEnd w:id="23"/>
    </w:p>
    <w:p w:rsidR="00126A4B" w:rsidRPr="00126A4B" w:rsidRDefault="00126A4B" w:rsidP="0012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Федеральным законом               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</w:t>
      </w:r>
      <w:r w:rsidRPr="00126A4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Законом Самарской области от 01.11.2007 № 115-ГД (в ред</w:t>
      </w:r>
      <w:proofErr w:type="gramEnd"/>
      <w:r w:rsidRPr="00126A4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 xml:space="preserve">. от 11.02.2022)                               </w:t>
      </w:r>
      <w:r w:rsidRPr="00126A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"Об административных правонарушениях на территории Самарской области", руководствуясь Уставом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126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126A4B" w:rsidRPr="00126A4B" w:rsidRDefault="00126A4B" w:rsidP="0012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126A4B" w:rsidRPr="00126A4B" w:rsidRDefault="00126A4B" w:rsidP="00126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 в </w:t>
      </w: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благоустройства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12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Похвистневский Самарской области»</w:t>
      </w:r>
    </w:p>
    <w:p w:rsidR="00126A4B" w:rsidRPr="00126A4B" w:rsidRDefault="00126A4B" w:rsidP="0012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Правила) следующие изменения:</w:t>
      </w:r>
    </w:p>
    <w:p w:rsidR="00126A4B" w:rsidRPr="00126A4B" w:rsidRDefault="00126A4B" w:rsidP="00126A4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пункт 1.3. главы 1 добавить подпункты 1.3.11, 1.3.12, 1.3.13, 1.3.14 следующего содержания:</w:t>
      </w:r>
    </w:p>
    <w:p w:rsidR="00126A4B" w:rsidRPr="00126A4B" w:rsidRDefault="00126A4B" w:rsidP="00126A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«1.3.11. 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126A4B" w:rsidRPr="00126A4B" w:rsidRDefault="00126A4B" w:rsidP="00126A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1.3.12. </w:t>
      </w:r>
      <w:hyperlink r:id="rId10" w:tooltip="Владелец" w:history="1">
        <w:r w:rsidRPr="00126A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Владелец</w:t>
        </w:r>
      </w:hyperlink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126A4B" w:rsidRPr="00126A4B" w:rsidRDefault="00126A4B" w:rsidP="00126A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1.3.13.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126A4B" w:rsidRPr="00126A4B" w:rsidRDefault="00126A4B" w:rsidP="00126A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1.3.14. 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126A4B" w:rsidRPr="00126A4B" w:rsidRDefault="00126A4B" w:rsidP="00126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26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главу 4 добавить пункт 4.20 следующего содержания: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«4.20.</w:t>
      </w:r>
      <w:r w:rsidRPr="00126A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животных и птицы на территории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4.20.1.     Владельцы животных и птицы обязаны предотвращать опасное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воздействие своих животных на других животных и людей, а также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обеспечивать тишину для окружающих в соответствии с санитарными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нормами, соблюдать действующие санитарно-гигиенические и ветеринарные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правила.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4.20.2. Содержать домашних животных и птицу разрешается в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hyperlink r:id="rId11" w:tooltip="Договора аренды земельного участка" w:history="1">
        <w:r w:rsidRPr="00126A4B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договора</w:t>
        </w:r>
        <w:proofErr w:type="gramEnd"/>
        <w:r w:rsidRPr="00126A4B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 xml:space="preserve"> аренды земельных участков</w:t>
        </w:r>
      </w:hyperlink>
      <w:r w:rsidRPr="00126A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для выпаса сельскохозяйственных животных.</w:t>
      </w:r>
    </w:p>
    <w:p w:rsidR="00126A4B" w:rsidRPr="00126A4B" w:rsidRDefault="00126A4B" w:rsidP="00126A4B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интересов населения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олкай,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 Запрещается выпас сельскохозяйственных животных на территории парков, скверов, улиц, </w:t>
      </w:r>
      <w:proofErr w:type="spell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внутридворовых</w:t>
      </w:r>
      <w:proofErr w:type="spell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</w:t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целей.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Выпас лошадей осуществляется только в стреноженном состоянии.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126A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303DAE" wp14:editId="4BBB2A5B">
            <wp:extent cx="28575" cy="28575"/>
            <wp:effectExtent l="0" t="0" r="0" b="0"/>
            <wp:docPr id="2" name="Рисунок 2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Прогон водоплавающей птицы до естественных </w:t>
      </w:r>
      <w:hyperlink r:id="rId13" w:tooltip="Водоем" w:history="1">
        <w:r w:rsidRPr="00126A4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водоемов</w:t>
        </w:r>
      </w:hyperlink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обратно осуществляется под контролем владельца.</w:t>
      </w:r>
      <w:r w:rsidRPr="00126A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54BF7F" wp14:editId="5C434E31">
            <wp:extent cx="28575" cy="28575"/>
            <wp:effectExtent l="0" t="0" r="0" b="0"/>
            <wp:docPr id="1" name="Рисунок 1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сельского поселения не допускается: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выпас и прогон сельскохозяйственных животных вне специально отведенных мест для выпаса и маршрутов прогона;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неконтролируемый (безнадзорный) выпас, прогон сельскохозяйственных животных;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выпас и прогон сельскохозяйственных животных в неустановленное время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4.20.7.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:rsidR="00126A4B" w:rsidRPr="00126A4B" w:rsidRDefault="00126A4B" w:rsidP="0012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126A4B" w:rsidRPr="00126A4B" w:rsidRDefault="00126A4B" w:rsidP="0012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126A4B" w:rsidRPr="00126A4B" w:rsidRDefault="00126A4B" w:rsidP="0012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126A4B" w:rsidRPr="00126A4B" w:rsidRDefault="00126A4B" w:rsidP="0012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126A4B" w:rsidRPr="00126A4B" w:rsidRDefault="00126A4B" w:rsidP="00126A4B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Н.Н.Львов</w:t>
      </w:r>
      <w:proofErr w:type="spellEnd"/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Малый</w:t>
      </w:r>
      <w:proofErr w:type="gram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126A4B" w:rsidRPr="00126A4B" w:rsidRDefault="00126A4B" w:rsidP="00126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26A4B">
        <w:rPr>
          <w:rFonts w:ascii="Times New Roman" w:eastAsia="Times New Roman" w:hAnsi="Times New Roman" w:cs="Times New Roman"/>
          <w:sz w:val="20"/>
          <w:szCs w:val="20"/>
          <w:lang w:eastAsia="ru-RU"/>
        </w:rPr>
        <w:t>Р.Ю.Атякшева</w:t>
      </w:r>
      <w:proofErr w:type="spellEnd"/>
    </w:p>
    <w:p w:rsidR="00126A4B" w:rsidRPr="00126A4B" w:rsidRDefault="00126A4B" w:rsidP="00126A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A4B" w:rsidRPr="00126A4B" w:rsidRDefault="00126A4B" w:rsidP="0012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636" w:rsidRPr="00B01FBA" w:rsidRDefault="00592636" w:rsidP="00B01F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92636" w:rsidRPr="00B01FBA" w:rsidSect="000431BA">
          <w:headerReference w:type="even" r:id="rId14"/>
          <w:headerReference w:type="default" r:id="rId15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</w:p>
    <w:p w:rsidR="00CA0C0E" w:rsidRDefault="00CA0C0E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126A4B" w:rsidRPr="00B01FBA" w:rsidTr="00126A4B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B" w:rsidRPr="00B01FBA" w:rsidRDefault="00126A4B" w:rsidP="00126A4B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126A4B" w:rsidRPr="00B01FBA" w:rsidRDefault="00126A4B" w:rsidP="00126A4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126A4B" w:rsidRPr="00B01FBA" w:rsidTr="00126A4B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B" w:rsidRPr="00B01FBA" w:rsidRDefault="00126A4B" w:rsidP="00126A4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B" w:rsidRPr="00B01FBA" w:rsidRDefault="00126A4B" w:rsidP="00126A4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B" w:rsidRPr="00B01FBA" w:rsidRDefault="00126A4B" w:rsidP="00126A4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Редактор Ефремова Ю.С.</w:t>
            </w:r>
          </w:p>
        </w:tc>
      </w:tr>
    </w:tbl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P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B01FBA" w:rsidRPr="00B01FBA" w:rsidSect="000431BA"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0373B9" w:rsidRPr="00BB118A" w:rsidRDefault="000373B9" w:rsidP="0059263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footerReference w:type="default" r:id="rId16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6D" w:rsidRDefault="00FE646D" w:rsidP="00D75740">
      <w:pPr>
        <w:spacing w:after="0" w:line="240" w:lineRule="auto"/>
      </w:pPr>
      <w:r>
        <w:separator/>
      </w:r>
    </w:p>
  </w:endnote>
  <w:endnote w:type="continuationSeparator" w:id="0">
    <w:p w:rsidR="00FE646D" w:rsidRDefault="00FE646D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5E2B1E" w:rsidRDefault="005E2B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4B" w:rsidRPr="00126A4B">
          <w:rPr>
            <w:noProof/>
            <w:lang w:val="ru-RU"/>
          </w:rPr>
          <w:t>6</w:t>
        </w:r>
        <w:r>
          <w:fldChar w:fldCharType="end"/>
        </w:r>
      </w:p>
    </w:sdtContent>
  </w:sdt>
  <w:p w:rsidR="005E2B1E" w:rsidRDefault="005E2B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6D" w:rsidRDefault="00FE646D" w:rsidP="00D75740">
      <w:pPr>
        <w:spacing w:after="0" w:line="240" w:lineRule="auto"/>
      </w:pPr>
      <w:r>
        <w:separator/>
      </w:r>
    </w:p>
  </w:footnote>
  <w:footnote w:type="continuationSeparator" w:id="0">
    <w:p w:rsidR="00FE646D" w:rsidRDefault="00FE646D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E" w:rsidRDefault="005E2B1E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E2B1E" w:rsidRDefault="005E2B1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E" w:rsidRDefault="005E2B1E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26A4B">
      <w:rPr>
        <w:rStyle w:val="afc"/>
        <w:noProof/>
      </w:rPr>
      <w:t>6</w:t>
    </w:r>
    <w:r>
      <w:rPr>
        <w:rStyle w:val="afc"/>
      </w:rPr>
      <w:fldChar w:fldCharType="end"/>
    </w:r>
  </w:p>
  <w:p w:rsidR="005E2B1E" w:rsidRDefault="005E2B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4BC6"/>
    <w:rsid w:val="000373B9"/>
    <w:rsid w:val="0004093B"/>
    <w:rsid w:val="00042FE6"/>
    <w:rsid w:val="000431BA"/>
    <w:rsid w:val="0005562D"/>
    <w:rsid w:val="00071958"/>
    <w:rsid w:val="00080341"/>
    <w:rsid w:val="001212AF"/>
    <w:rsid w:val="00126A4B"/>
    <w:rsid w:val="00131483"/>
    <w:rsid w:val="00135930"/>
    <w:rsid w:val="00140CEA"/>
    <w:rsid w:val="0015129D"/>
    <w:rsid w:val="00166563"/>
    <w:rsid w:val="00180761"/>
    <w:rsid w:val="00183C9E"/>
    <w:rsid w:val="00186F2F"/>
    <w:rsid w:val="001932EF"/>
    <w:rsid w:val="001C6557"/>
    <w:rsid w:val="001D25DD"/>
    <w:rsid w:val="001E0437"/>
    <w:rsid w:val="001F47CB"/>
    <w:rsid w:val="001F783C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6438B"/>
    <w:rsid w:val="00397C3D"/>
    <w:rsid w:val="003A0ADB"/>
    <w:rsid w:val="00410D2F"/>
    <w:rsid w:val="00462D63"/>
    <w:rsid w:val="00467855"/>
    <w:rsid w:val="004856B7"/>
    <w:rsid w:val="004861EE"/>
    <w:rsid w:val="004C32BA"/>
    <w:rsid w:val="004D0ECC"/>
    <w:rsid w:val="004D6C54"/>
    <w:rsid w:val="004D7B04"/>
    <w:rsid w:val="00505BB4"/>
    <w:rsid w:val="00514223"/>
    <w:rsid w:val="00522E3C"/>
    <w:rsid w:val="00527488"/>
    <w:rsid w:val="00557C09"/>
    <w:rsid w:val="00573575"/>
    <w:rsid w:val="00581F33"/>
    <w:rsid w:val="00592636"/>
    <w:rsid w:val="005B0B16"/>
    <w:rsid w:val="005D5BF3"/>
    <w:rsid w:val="005E2B1E"/>
    <w:rsid w:val="005F6398"/>
    <w:rsid w:val="00604850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B609A"/>
    <w:rsid w:val="007D1171"/>
    <w:rsid w:val="007D122D"/>
    <w:rsid w:val="008142A8"/>
    <w:rsid w:val="00816B6B"/>
    <w:rsid w:val="00825110"/>
    <w:rsid w:val="0084487B"/>
    <w:rsid w:val="00876834"/>
    <w:rsid w:val="00877D1F"/>
    <w:rsid w:val="008A74AC"/>
    <w:rsid w:val="008B012D"/>
    <w:rsid w:val="008C6ACB"/>
    <w:rsid w:val="008E2981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44A51"/>
    <w:rsid w:val="00A56137"/>
    <w:rsid w:val="00A815CD"/>
    <w:rsid w:val="00A87E5F"/>
    <w:rsid w:val="00A91385"/>
    <w:rsid w:val="00A92542"/>
    <w:rsid w:val="00AA3E4B"/>
    <w:rsid w:val="00AC480C"/>
    <w:rsid w:val="00AE759D"/>
    <w:rsid w:val="00B01FBA"/>
    <w:rsid w:val="00B25A02"/>
    <w:rsid w:val="00B27CB3"/>
    <w:rsid w:val="00B30772"/>
    <w:rsid w:val="00B6087C"/>
    <w:rsid w:val="00BA2A5F"/>
    <w:rsid w:val="00BA4D4E"/>
    <w:rsid w:val="00BB118A"/>
    <w:rsid w:val="00BB1E41"/>
    <w:rsid w:val="00BB3846"/>
    <w:rsid w:val="00C01F83"/>
    <w:rsid w:val="00C208C6"/>
    <w:rsid w:val="00C24F60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092E"/>
    <w:rsid w:val="00DA60F8"/>
    <w:rsid w:val="00DB072B"/>
    <w:rsid w:val="00DC7CC9"/>
    <w:rsid w:val="00DE0A3E"/>
    <w:rsid w:val="00DF0125"/>
    <w:rsid w:val="00E02CAC"/>
    <w:rsid w:val="00E05398"/>
    <w:rsid w:val="00E374AB"/>
    <w:rsid w:val="00EB7EEF"/>
    <w:rsid w:val="00ED10D3"/>
    <w:rsid w:val="00EE3F43"/>
    <w:rsid w:val="00EF495D"/>
    <w:rsid w:val="00F078D1"/>
    <w:rsid w:val="00F45682"/>
    <w:rsid w:val="00F467F2"/>
    <w:rsid w:val="00F53438"/>
    <w:rsid w:val="00F6355E"/>
    <w:rsid w:val="00F77D01"/>
    <w:rsid w:val="00F807B2"/>
    <w:rsid w:val="00F90A2E"/>
    <w:rsid w:val="00F946EA"/>
    <w:rsid w:val="00FA5EBA"/>
    <w:rsid w:val="00FD524C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vodoe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ogovora_arendi_zemelmznogo_uchast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ndia.ru/text/category/vladelet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43E7-8B36-470D-B7BA-92CE912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17</cp:revision>
  <cp:lastPrinted>2022-04-07T05:31:00Z</cp:lastPrinted>
  <dcterms:created xsi:type="dcterms:W3CDTF">2021-05-01T21:12:00Z</dcterms:created>
  <dcterms:modified xsi:type="dcterms:W3CDTF">2022-04-07T05:33:00Z</dcterms:modified>
</cp:coreProperties>
</file>